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right="238"/>
        <w:jc w:val="both"/>
        <w:rPr>
          <w:rFonts w:hint="eastAsia" w:ascii="宋体" w:hAnsi="宋体" w:eastAsia="宋体" w:cs="宋体"/>
          <w:b/>
          <w:bCs/>
          <w:sz w:val="44"/>
          <w:szCs w:val="44"/>
          <w:highlight w:val="none"/>
        </w:rPr>
      </w:pPr>
    </w:p>
    <w:p>
      <w:pPr>
        <w:spacing w:line="360" w:lineRule="auto"/>
        <w:ind w:right="238"/>
        <w:jc w:val="center"/>
        <w:rPr>
          <w:rFonts w:hint="eastAsia" w:ascii="宋体" w:hAnsi="宋体" w:eastAsia="宋体" w:cs="宋体"/>
          <w:b/>
          <w:bCs/>
          <w:sz w:val="72"/>
          <w:szCs w:val="72"/>
          <w:highlight w:val="none"/>
        </w:rPr>
      </w:pPr>
      <w:r>
        <w:rPr>
          <w:rFonts w:hint="eastAsia" w:ascii="宋体" w:hAnsi="宋体" w:eastAsia="宋体" w:cs="宋体"/>
          <w:b/>
          <w:bCs/>
          <w:sz w:val="72"/>
          <w:szCs w:val="72"/>
          <w:highlight w:val="none"/>
        </w:rPr>
        <w:t>社会责任报告</w:t>
      </w:r>
    </w:p>
    <w:p>
      <w:pPr>
        <w:spacing w:line="360" w:lineRule="auto"/>
        <w:ind w:right="238"/>
        <w:jc w:val="center"/>
        <w:rPr>
          <w:rFonts w:hint="eastAsia" w:ascii="宋体" w:hAnsi="宋体" w:eastAsia="宋体" w:cs="宋体"/>
          <w:sz w:val="32"/>
          <w:szCs w:val="32"/>
          <w:highlight w:val="none"/>
        </w:rPr>
      </w:pPr>
      <w:r>
        <w:drawing>
          <wp:inline distT="0" distB="0" distL="114300" distR="114300">
            <wp:extent cx="5848985" cy="3522345"/>
            <wp:effectExtent l="0" t="0" r="18415" b="190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6"/>
                    <a:stretch>
                      <a:fillRect/>
                    </a:stretch>
                  </pic:blipFill>
                  <pic:spPr>
                    <a:xfrm>
                      <a:off x="0" y="0"/>
                      <a:ext cx="5848985" cy="3522345"/>
                    </a:xfrm>
                    <a:prstGeom prst="rect">
                      <a:avLst/>
                    </a:prstGeom>
                    <a:noFill/>
                    <a:ln>
                      <a:noFill/>
                    </a:ln>
                  </pic:spPr>
                </pic:pic>
              </a:graphicData>
            </a:graphic>
          </wp:inline>
        </w:drawing>
      </w:r>
    </w:p>
    <w:p>
      <w:pPr>
        <w:spacing w:line="360" w:lineRule="auto"/>
        <w:ind w:right="238"/>
        <w:jc w:val="both"/>
        <w:rPr>
          <w:rFonts w:hint="eastAsia" w:ascii="宋体" w:hAnsi="宋体" w:eastAsia="宋体" w:cs="宋体"/>
          <w:sz w:val="32"/>
          <w:szCs w:val="32"/>
          <w:highlight w:val="none"/>
        </w:rPr>
      </w:pPr>
    </w:p>
    <w:p>
      <w:pPr>
        <w:spacing w:line="360" w:lineRule="auto"/>
        <w:ind w:right="238"/>
        <w:jc w:val="center"/>
        <w:rPr>
          <w:rFonts w:hint="eastAsia" w:ascii="宋体" w:hAnsi="宋体" w:eastAsia="宋体" w:cs="宋体"/>
          <w:sz w:val="32"/>
          <w:szCs w:val="32"/>
          <w:highlight w:val="none"/>
        </w:rPr>
      </w:pPr>
    </w:p>
    <w:p>
      <w:pPr>
        <w:spacing w:line="360" w:lineRule="auto"/>
        <w:ind w:right="238"/>
        <w:jc w:val="center"/>
        <w:rPr>
          <w:rFonts w:hint="eastAsia" w:ascii="宋体" w:hAnsi="宋体" w:eastAsia="宋体" w:cs="宋体"/>
          <w:sz w:val="32"/>
          <w:szCs w:val="32"/>
          <w:highlight w:val="none"/>
        </w:rPr>
      </w:pPr>
    </w:p>
    <w:p>
      <w:pPr>
        <w:spacing w:line="360" w:lineRule="auto"/>
        <w:ind w:right="238"/>
        <w:jc w:val="center"/>
        <w:rPr>
          <w:rFonts w:hint="eastAsia" w:ascii="宋体" w:hAnsi="宋体" w:eastAsia="宋体" w:cs="宋体"/>
          <w:sz w:val="32"/>
          <w:szCs w:val="32"/>
          <w:highlight w:val="none"/>
        </w:rPr>
      </w:pPr>
    </w:p>
    <w:p>
      <w:pPr>
        <w:spacing w:before="28" w:line="360" w:lineRule="auto"/>
        <w:ind w:right="239"/>
        <w:jc w:val="both"/>
        <w:rPr>
          <w:rFonts w:hint="eastAsia" w:ascii="宋体" w:hAnsi="宋体" w:eastAsia="宋体" w:cs="宋体"/>
          <w:sz w:val="32"/>
          <w:szCs w:val="32"/>
          <w:highlight w:val="none"/>
        </w:rPr>
      </w:pPr>
    </w:p>
    <w:p>
      <w:pPr>
        <w:pStyle w:val="4"/>
        <w:spacing w:before="7" w:line="360" w:lineRule="auto"/>
        <w:ind w:left="0"/>
        <w:jc w:val="center"/>
        <w:rPr>
          <w:rFonts w:hint="eastAsia" w:ascii="宋体" w:hAnsi="宋体" w:eastAsia="宋体" w:cs="宋体"/>
          <w:sz w:val="32"/>
          <w:szCs w:val="32"/>
          <w:highlight w:val="none"/>
          <w:lang w:eastAsia="zh-CN"/>
        </w:rPr>
      </w:pPr>
      <w:r>
        <w:rPr>
          <w:rFonts w:hint="eastAsia" w:cs="宋体"/>
          <w:sz w:val="32"/>
          <w:szCs w:val="32"/>
          <w:highlight w:val="none"/>
          <w:lang w:val="en-US" w:eastAsia="zh-CN"/>
        </w:rPr>
        <w:t>益大特钢有限公司</w:t>
      </w:r>
    </w:p>
    <w:p>
      <w:pPr>
        <w:spacing w:before="54" w:line="360" w:lineRule="auto"/>
        <w:ind w:right="242"/>
        <w:jc w:val="center"/>
        <w:rPr>
          <w:rFonts w:hint="eastAsia" w:ascii="宋体" w:hAnsi="宋体" w:eastAsia="宋体" w:cs="宋体"/>
          <w:sz w:val="32"/>
          <w:szCs w:val="32"/>
          <w:highlight w:val="none"/>
        </w:rPr>
      </w:pPr>
      <w:r>
        <w:rPr>
          <w:rFonts w:hint="eastAsia" w:ascii="宋体" w:hAnsi="宋体" w:eastAsia="宋体" w:cs="宋体"/>
          <w:sz w:val="32"/>
          <w:szCs w:val="32"/>
          <w:highlight w:val="none"/>
        </w:rPr>
        <w:t>二零二</w:t>
      </w:r>
      <w:r>
        <w:rPr>
          <w:rFonts w:hint="eastAsia" w:cs="宋体"/>
          <w:sz w:val="32"/>
          <w:szCs w:val="32"/>
          <w:highlight w:val="none"/>
          <w:lang w:val="en-US" w:eastAsia="zh-CN"/>
        </w:rPr>
        <w:t>一</w:t>
      </w:r>
      <w:r>
        <w:rPr>
          <w:rFonts w:hint="eastAsia" w:ascii="宋体" w:hAnsi="宋体" w:eastAsia="宋体" w:cs="宋体"/>
          <w:sz w:val="32"/>
          <w:szCs w:val="32"/>
          <w:highlight w:val="none"/>
        </w:rPr>
        <w:t>年</w:t>
      </w:r>
      <w:r>
        <w:rPr>
          <w:rFonts w:hint="eastAsia" w:cs="宋体"/>
          <w:sz w:val="32"/>
          <w:szCs w:val="32"/>
          <w:highlight w:val="none"/>
          <w:lang w:val="en-US" w:eastAsia="zh-CN"/>
        </w:rPr>
        <w:t>十</w:t>
      </w:r>
      <w:r>
        <w:rPr>
          <w:rFonts w:hint="eastAsia" w:ascii="宋体" w:hAnsi="宋体" w:eastAsia="宋体" w:cs="宋体"/>
          <w:sz w:val="32"/>
          <w:szCs w:val="32"/>
          <w:highlight w:val="none"/>
        </w:rPr>
        <w:t>月</w:t>
      </w:r>
    </w:p>
    <w:p>
      <w:pPr>
        <w:spacing w:before="54" w:line="360" w:lineRule="auto"/>
        <w:ind w:right="242"/>
        <w:jc w:val="center"/>
        <w:rPr>
          <w:rFonts w:hint="eastAsia" w:ascii="宋体" w:hAnsi="宋体" w:eastAsia="宋体" w:cs="宋体"/>
          <w:sz w:val="24"/>
          <w:szCs w:val="24"/>
          <w:highlight w:val="none"/>
        </w:rPr>
      </w:pPr>
    </w:p>
    <w:p>
      <w:pPr>
        <w:spacing w:before="54" w:line="360" w:lineRule="auto"/>
        <w:ind w:right="242"/>
        <w:jc w:val="center"/>
        <w:rPr>
          <w:rFonts w:hint="eastAsia" w:ascii="宋体" w:hAnsi="宋体" w:eastAsia="宋体" w:cs="宋体"/>
          <w:sz w:val="24"/>
          <w:szCs w:val="24"/>
          <w:highlight w:val="none"/>
        </w:rPr>
      </w:pPr>
    </w:p>
    <w:p>
      <w:pPr>
        <w:spacing w:before="54" w:line="360" w:lineRule="auto"/>
        <w:ind w:right="242"/>
        <w:jc w:val="center"/>
        <w:rPr>
          <w:rFonts w:hint="eastAsia" w:ascii="宋体" w:hAnsi="宋体" w:eastAsia="宋体" w:cs="宋体"/>
          <w:sz w:val="24"/>
          <w:szCs w:val="24"/>
          <w:highlight w:val="none"/>
        </w:rPr>
      </w:pPr>
    </w:p>
    <w:p>
      <w:pPr>
        <w:spacing w:before="54" w:line="360" w:lineRule="auto"/>
        <w:ind w:right="242"/>
        <w:jc w:val="center"/>
        <w:rPr>
          <w:rFonts w:hint="eastAsia" w:ascii="宋体" w:hAnsi="宋体" w:eastAsia="宋体" w:cs="宋体"/>
          <w:sz w:val="24"/>
          <w:szCs w:val="24"/>
          <w:highlight w:val="none"/>
        </w:rPr>
      </w:pPr>
    </w:p>
    <w:p>
      <w:pPr>
        <w:spacing w:before="54" w:line="360" w:lineRule="auto"/>
        <w:ind w:right="242"/>
        <w:jc w:val="center"/>
        <w:rPr>
          <w:rFonts w:hint="eastAsia" w:ascii="宋体" w:hAnsi="宋体" w:eastAsia="宋体" w:cs="宋体"/>
          <w:sz w:val="24"/>
          <w:szCs w:val="24"/>
          <w:highlight w:val="none"/>
        </w:rPr>
      </w:pPr>
    </w:p>
    <w:p>
      <w:pPr>
        <w:spacing w:before="54" w:line="360" w:lineRule="auto"/>
        <w:ind w:right="242"/>
        <w:jc w:val="both"/>
        <w:rPr>
          <w:rFonts w:hint="eastAsia" w:ascii="宋体" w:hAnsi="宋体" w:eastAsia="宋体" w:cs="宋体"/>
          <w:sz w:val="24"/>
          <w:szCs w:val="24"/>
          <w:highlight w:val="none"/>
        </w:rPr>
      </w:pPr>
    </w:p>
    <w:p>
      <w:pPr>
        <w:spacing w:before="54" w:line="360" w:lineRule="auto"/>
        <w:ind w:right="242"/>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报告编写说明</w:t>
      </w:r>
    </w:p>
    <w:p>
      <w:pPr>
        <w:pStyle w:val="4"/>
        <w:spacing w:line="360" w:lineRule="auto"/>
        <w:ind w:left="0"/>
        <w:rPr>
          <w:rFonts w:hint="eastAsia" w:ascii="宋体" w:hAnsi="宋体" w:eastAsia="宋体" w:cs="宋体"/>
          <w:sz w:val="24"/>
          <w:szCs w:val="24"/>
          <w:highlight w:val="none"/>
        </w:rPr>
      </w:pPr>
    </w:p>
    <w:p>
      <w:pPr>
        <w:pStyle w:val="4"/>
        <w:spacing w:before="6" w:line="360" w:lineRule="auto"/>
        <w:ind w:left="0"/>
        <w:rPr>
          <w:rFonts w:hint="eastAsia" w:ascii="宋体" w:hAnsi="宋体" w:eastAsia="宋体" w:cs="宋体"/>
          <w:sz w:val="24"/>
          <w:szCs w:val="24"/>
          <w:highlight w:val="none"/>
        </w:rPr>
      </w:pPr>
    </w:p>
    <w:p>
      <w:pPr>
        <w:pStyle w:val="15"/>
        <w:numPr>
          <w:ilvl w:val="0"/>
          <w:numId w:val="1"/>
        </w:numPr>
        <w:tabs>
          <w:tab w:val="left" w:pos="480"/>
        </w:tabs>
        <w:spacing w:before="66" w:line="360" w:lineRule="auto"/>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报告简介</w:t>
      </w:r>
    </w:p>
    <w:p>
      <w:pPr>
        <w:pStyle w:val="4"/>
        <w:spacing w:before="189" w:line="360" w:lineRule="auto"/>
        <w:ind w:left="121" w:leftChars="55"/>
        <w:rPr>
          <w:rFonts w:hint="eastAsia" w:ascii="宋体" w:hAnsi="宋体" w:eastAsia="宋体" w:cs="宋体"/>
          <w:sz w:val="24"/>
          <w:szCs w:val="24"/>
          <w:highlight w:val="none"/>
        </w:rPr>
      </w:pPr>
      <w:r>
        <w:rPr>
          <w:rFonts w:hint="eastAsia" w:ascii="宋体" w:hAnsi="宋体" w:eastAsia="宋体" w:cs="宋体"/>
          <w:spacing w:val="-11"/>
          <w:sz w:val="24"/>
          <w:szCs w:val="24"/>
          <w:highlight w:val="none"/>
        </w:rPr>
        <w:t>《</w:t>
      </w:r>
      <w:r>
        <w:rPr>
          <w:rFonts w:hint="eastAsia" w:cs="宋体"/>
          <w:spacing w:val="-11"/>
          <w:sz w:val="24"/>
          <w:szCs w:val="24"/>
          <w:highlight w:val="none"/>
          <w:lang w:eastAsia="zh-CN"/>
        </w:rPr>
        <w:t>益大特钢有限公司</w:t>
      </w:r>
      <w:r>
        <w:rPr>
          <w:rFonts w:hint="eastAsia" w:ascii="宋体" w:hAnsi="宋体" w:eastAsia="宋体" w:cs="宋体"/>
          <w:spacing w:val="-11"/>
          <w:sz w:val="24"/>
          <w:szCs w:val="24"/>
          <w:highlight w:val="none"/>
        </w:rPr>
        <w:t xml:space="preserve"> 20</w:t>
      </w:r>
      <w:r>
        <w:rPr>
          <w:rFonts w:hint="eastAsia" w:cs="宋体"/>
          <w:spacing w:val="-11"/>
          <w:sz w:val="24"/>
          <w:szCs w:val="24"/>
          <w:highlight w:val="none"/>
          <w:lang w:val="en-US" w:eastAsia="zh-CN"/>
        </w:rPr>
        <w:t>20</w:t>
      </w:r>
      <w:r>
        <w:rPr>
          <w:rFonts w:hint="eastAsia" w:ascii="宋体" w:hAnsi="宋体" w:eastAsia="宋体" w:cs="宋体"/>
          <w:spacing w:val="-11"/>
          <w:sz w:val="24"/>
          <w:szCs w:val="24"/>
          <w:highlight w:val="none"/>
        </w:rPr>
        <w:t xml:space="preserve"> 年企业社会责任报告》是</w:t>
      </w:r>
      <w:r>
        <w:rPr>
          <w:rFonts w:hint="eastAsia" w:cs="宋体"/>
          <w:spacing w:val="-11"/>
          <w:sz w:val="24"/>
          <w:szCs w:val="24"/>
          <w:highlight w:val="none"/>
          <w:lang w:eastAsia="zh-CN"/>
        </w:rPr>
        <w:t>益大特钢有限公司</w:t>
      </w:r>
      <w:r>
        <w:rPr>
          <w:rFonts w:hint="eastAsia" w:ascii="宋体" w:hAnsi="宋体" w:eastAsia="宋体" w:cs="宋体"/>
          <w:spacing w:val="-11"/>
          <w:sz w:val="24"/>
          <w:szCs w:val="24"/>
          <w:highlight w:val="none"/>
        </w:rPr>
        <w:t>发布的第一份企业社会责任报</w:t>
      </w:r>
      <w:r>
        <w:rPr>
          <w:rFonts w:hint="eastAsia" w:ascii="宋体" w:hAnsi="宋体" w:eastAsia="宋体" w:cs="宋体"/>
          <w:spacing w:val="-3"/>
          <w:sz w:val="24"/>
          <w:szCs w:val="24"/>
          <w:highlight w:val="none"/>
        </w:rPr>
        <w:t>告。报告回顾了</w:t>
      </w:r>
      <w:r>
        <w:rPr>
          <w:rFonts w:hint="eastAsia" w:cs="宋体"/>
          <w:spacing w:val="-3"/>
          <w:sz w:val="24"/>
          <w:szCs w:val="24"/>
          <w:highlight w:val="none"/>
          <w:lang w:val="en-US" w:eastAsia="zh-CN"/>
        </w:rPr>
        <w:t>益大</w:t>
      </w:r>
      <w:r>
        <w:rPr>
          <w:rFonts w:hint="eastAsia" w:ascii="宋体" w:hAnsi="宋体" w:eastAsia="宋体" w:cs="宋体"/>
          <w:spacing w:val="-3"/>
          <w:sz w:val="24"/>
          <w:szCs w:val="24"/>
          <w:highlight w:val="none"/>
          <w:lang w:val="en-US"/>
        </w:rPr>
        <w:t>公司</w:t>
      </w:r>
      <w:r>
        <w:rPr>
          <w:rFonts w:hint="eastAsia" w:ascii="宋体" w:hAnsi="宋体" w:eastAsia="宋体" w:cs="宋体"/>
          <w:spacing w:val="-3"/>
          <w:sz w:val="24"/>
          <w:szCs w:val="24"/>
          <w:highlight w:val="none"/>
        </w:rPr>
        <w:t xml:space="preserve"> </w:t>
      </w:r>
      <w:r>
        <w:rPr>
          <w:rFonts w:hint="eastAsia" w:ascii="宋体" w:hAnsi="宋体" w:eastAsia="宋体" w:cs="宋体"/>
          <w:sz w:val="24"/>
          <w:szCs w:val="24"/>
          <w:highlight w:val="none"/>
        </w:rPr>
        <w:t>20</w:t>
      </w:r>
      <w:r>
        <w:rPr>
          <w:rFonts w:hint="eastAsia" w:cs="宋体"/>
          <w:sz w:val="24"/>
          <w:szCs w:val="24"/>
          <w:highlight w:val="none"/>
          <w:lang w:val="en-US" w:eastAsia="zh-CN"/>
        </w:rPr>
        <w:t>20</w:t>
      </w:r>
      <w:r>
        <w:rPr>
          <w:rFonts w:hint="eastAsia" w:ascii="宋体" w:hAnsi="宋体" w:eastAsia="宋体" w:cs="宋体"/>
          <w:spacing w:val="-11"/>
          <w:sz w:val="24"/>
          <w:szCs w:val="24"/>
          <w:highlight w:val="none"/>
        </w:rPr>
        <w:t>年所面临的机遇</w:t>
      </w:r>
      <w:r>
        <w:rPr>
          <w:rFonts w:hint="eastAsia" w:ascii="宋体" w:hAnsi="宋体" w:eastAsia="宋体" w:cs="宋体"/>
          <w:sz w:val="24"/>
          <w:szCs w:val="24"/>
          <w:highlight w:val="none"/>
        </w:rPr>
        <w:t>与挑战，披露了相关的社会责任实践和绩效。</w:t>
      </w:r>
    </w:p>
    <w:p>
      <w:pPr>
        <w:pStyle w:val="15"/>
        <w:numPr>
          <w:ilvl w:val="0"/>
          <w:numId w:val="1"/>
        </w:numPr>
        <w:tabs>
          <w:tab w:val="left" w:pos="480"/>
        </w:tabs>
        <w:spacing w:before="0"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时间范围</w:t>
      </w:r>
    </w:p>
    <w:p>
      <w:pPr>
        <w:pStyle w:val="4"/>
        <w:spacing w:before="187"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报告中的 20</w:t>
      </w:r>
      <w:r>
        <w:rPr>
          <w:rFonts w:hint="eastAsia" w:cs="宋体"/>
          <w:sz w:val="24"/>
          <w:szCs w:val="24"/>
          <w:highlight w:val="none"/>
          <w:lang w:val="en-US" w:eastAsia="zh-CN"/>
        </w:rPr>
        <w:t>20</w:t>
      </w:r>
      <w:r>
        <w:rPr>
          <w:rFonts w:hint="eastAsia" w:ascii="宋体" w:hAnsi="宋体" w:eastAsia="宋体" w:cs="宋体"/>
          <w:sz w:val="24"/>
          <w:szCs w:val="24"/>
          <w:highlight w:val="none"/>
        </w:rPr>
        <w:t>年均指 20</w:t>
      </w:r>
      <w:r>
        <w:rPr>
          <w:rFonts w:hint="eastAsia" w:cs="宋体"/>
          <w:sz w:val="24"/>
          <w:szCs w:val="24"/>
          <w:highlight w:val="none"/>
          <w:lang w:val="en-US" w:eastAsia="zh-CN"/>
        </w:rPr>
        <w:t>20</w:t>
      </w:r>
      <w:r>
        <w:rPr>
          <w:rFonts w:hint="eastAsia" w:ascii="宋体" w:hAnsi="宋体" w:eastAsia="宋体" w:cs="宋体"/>
          <w:sz w:val="24"/>
          <w:szCs w:val="24"/>
          <w:highlight w:val="none"/>
          <w:lang w:val="en-US"/>
        </w:rPr>
        <w:t>日历</w:t>
      </w:r>
      <w:r>
        <w:rPr>
          <w:rFonts w:hint="eastAsia" w:ascii="宋体" w:hAnsi="宋体" w:eastAsia="宋体" w:cs="宋体"/>
          <w:sz w:val="24"/>
          <w:szCs w:val="24"/>
          <w:highlight w:val="none"/>
        </w:rPr>
        <w:t>年。</w:t>
      </w:r>
    </w:p>
    <w:p>
      <w:pPr>
        <w:pStyle w:val="15"/>
        <w:numPr>
          <w:ilvl w:val="0"/>
          <w:numId w:val="1"/>
        </w:numPr>
        <w:tabs>
          <w:tab w:val="left" w:pos="480"/>
        </w:tabs>
        <w:spacing w:before="189" w:line="360" w:lineRule="auto"/>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发布周期</w:t>
      </w:r>
    </w:p>
    <w:p>
      <w:pPr>
        <w:pStyle w:val="4"/>
        <w:spacing w:before="190"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本报告为年度报告。</w:t>
      </w:r>
    </w:p>
    <w:p>
      <w:pPr>
        <w:pStyle w:val="15"/>
        <w:numPr>
          <w:ilvl w:val="0"/>
          <w:numId w:val="1"/>
        </w:numPr>
        <w:tabs>
          <w:tab w:val="left" w:pos="480"/>
        </w:tabs>
        <w:spacing w:before="187" w:line="360" w:lineRule="auto"/>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报告范围</w:t>
      </w:r>
    </w:p>
    <w:p>
      <w:pPr>
        <w:pStyle w:val="4"/>
        <w:spacing w:before="189"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与</w:t>
      </w:r>
      <w:r>
        <w:rPr>
          <w:rFonts w:hint="eastAsia" w:cs="宋体"/>
          <w:spacing w:val="-11"/>
          <w:sz w:val="24"/>
          <w:szCs w:val="24"/>
          <w:highlight w:val="none"/>
          <w:lang w:eastAsia="zh-CN"/>
        </w:rPr>
        <w:t>益大特钢有限公司</w:t>
      </w:r>
      <w:r>
        <w:rPr>
          <w:rFonts w:hint="eastAsia" w:ascii="宋体" w:hAnsi="宋体" w:eastAsia="宋体" w:cs="宋体"/>
          <w:sz w:val="24"/>
          <w:szCs w:val="24"/>
          <w:highlight w:val="none"/>
        </w:rPr>
        <w:t>的业务范围一致。</w:t>
      </w:r>
    </w:p>
    <w:p>
      <w:pPr>
        <w:pStyle w:val="15"/>
        <w:numPr>
          <w:ilvl w:val="0"/>
          <w:numId w:val="1"/>
        </w:numPr>
        <w:tabs>
          <w:tab w:val="left" w:pos="480"/>
        </w:tabs>
        <w:spacing w:before="189" w:line="360" w:lineRule="auto"/>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数据来源</w:t>
      </w:r>
    </w:p>
    <w:p>
      <w:pPr>
        <w:pStyle w:val="4"/>
        <w:spacing w:before="187" w:line="360" w:lineRule="auto"/>
        <w:ind w:right="360"/>
        <w:jc w:val="both"/>
        <w:rPr>
          <w:rFonts w:hint="eastAsia" w:ascii="宋体" w:hAnsi="宋体" w:eastAsia="宋体" w:cs="宋体"/>
          <w:sz w:val="24"/>
          <w:szCs w:val="24"/>
          <w:highlight w:val="none"/>
        </w:rPr>
      </w:pPr>
      <w:r>
        <w:rPr>
          <w:rFonts w:hint="eastAsia" w:ascii="宋体" w:hAnsi="宋体" w:eastAsia="宋体" w:cs="宋体"/>
          <w:spacing w:val="-5"/>
          <w:sz w:val="24"/>
          <w:szCs w:val="24"/>
          <w:highlight w:val="none"/>
        </w:rPr>
        <w:t>报告使用数据来自</w:t>
      </w:r>
      <w:r>
        <w:rPr>
          <w:rFonts w:hint="eastAsia" w:cs="宋体"/>
          <w:spacing w:val="-5"/>
          <w:sz w:val="24"/>
          <w:szCs w:val="24"/>
          <w:highlight w:val="none"/>
          <w:lang w:eastAsia="zh-CN"/>
        </w:rPr>
        <w:t>益大</w:t>
      </w:r>
      <w:r>
        <w:rPr>
          <w:rFonts w:hint="eastAsia" w:ascii="宋体" w:hAnsi="宋体" w:eastAsia="宋体" w:cs="宋体"/>
          <w:spacing w:val="-5"/>
          <w:sz w:val="24"/>
          <w:szCs w:val="24"/>
          <w:highlight w:val="none"/>
        </w:rPr>
        <w:t xml:space="preserve"> </w:t>
      </w:r>
      <w:r>
        <w:rPr>
          <w:rFonts w:hint="eastAsia" w:ascii="宋体" w:hAnsi="宋体" w:eastAsia="宋体" w:cs="宋体"/>
          <w:sz w:val="24"/>
          <w:szCs w:val="24"/>
          <w:highlight w:val="none"/>
        </w:rPr>
        <w:t>20</w:t>
      </w:r>
      <w:r>
        <w:rPr>
          <w:rFonts w:hint="eastAsia" w:cs="宋体"/>
          <w:sz w:val="24"/>
          <w:szCs w:val="24"/>
          <w:highlight w:val="none"/>
          <w:lang w:val="en-US" w:eastAsia="zh-CN"/>
        </w:rPr>
        <w:t>20</w:t>
      </w:r>
      <w:r>
        <w:rPr>
          <w:rFonts w:hint="eastAsia" w:ascii="宋体" w:hAnsi="宋体" w:eastAsia="宋体" w:cs="宋体"/>
          <w:spacing w:val="-8"/>
          <w:sz w:val="24"/>
          <w:szCs w:val="24"/>
          <w:highlight w:val="none"/>
        </w:rPr>
        <w:t xml:space="preserve"> 年报，以及公司正式文件和统计报告。</w:t>
      </w:r>
      <w:r>
        <w:rPr>
          <w:rFonts w:hint="eastAsia" w:ascii="宋体" w:hAnsi="宋体" w:eastAsia="宋体" w:cs="宋体"/>
          <w:spacing w:val="-14"/>
          <w:sz w:val="24"/>
          <w:szCs w:val="24"/>
          <w:highlight w:val="none"/>
        </w:rPr>
        <w:t>部门数据由于数据统计和口径的原因，有不完善的地方。我们将在日后不断完善</w:t>
      </w:r>
      <w:r>
        <w:rPr>
          <w:rFonts w:hint="eastAsia" w:ascii="宋体" w:hAnsi="宋体" w:eastAsia="宋体" w:cs="宋体"/>
          <w:sz w:val="24"/>
          <w:szCs w:val="24"/>
          <w:highlight w:val="none"/>
        </w:rPr>
        <w:t>数据指标统计系统，以保证将来提供更加全面的信息。</w:t>
      </w:r>
    </w:p>
    <w:p>
      <w:pPr>
        <w:pStyle w:val="15"/>
        <w:numPr>
          <w:ilvl w:val="0"/>
          <w:numId w:val="1"/>
        </w:numPr>
        <w:tabs>
          <w:tab w:val="left" w:pos="480"/>
        </w:tabs>
        <w:spacing w:before="0" w:line="360" w:lineRule="auto"/>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指代说明</w:t>
      </w:r>
    </w:p>
    <w:p>
      <w:pPr>
        <w:pStyle w:val="4"/>
        <w:spacing w:before="189" w:line="360" w:lineRule="auto"/>
        <w:ind w:right="358"/>
        <w:rPr>
          <w:rFonts w:hint="eastAsia" w:ascii="宋体" w:hAnsi="宋体" w:eastAsia="宋体" w:cs="宋体"/>
          <w:sz w:val="24"/>
          <w:szCs w:val="24"/>
          <w:highlight w:val="none"/>
        </w:rPr>
        <w:sectPr>
          <w:headerReference r:id="rId3" w:type="default"/>
          <w:footerReference r:id="rId4" w:type="default"/>
          <w:pgSz w:w="11910" w:h="16840"/>
          <w:pgMar w:top="1420" w:right="1440" w:bottom="1380" w:left="1680" w:header="877" w:footer="1197" w:gutter="0"/>
          <w:cols w:space="720" w:num="1"/>
        </w:sectPr>
      </w:pPr>
      <w:r>
        <w:rPr>
          <w:rFonts w:hint="eastAsia" w:ascii="宋体" w:hAnsi="宋体" w:eastAsia="宋体" w:cs="宋体"/>
          <w:spacing w:val="-26"/>
          <w:sz w:val="24"/>
          <w:szCs w:val="24"/>
          <w:highlight w:val="none"/>
        </w:rPr>
        <w:t>为便于表述，报告中“公司”、“我们”、 “</w:t>
      </w:r>
      <w:r>
        <w:rPr>
          <w:rFonts w:hint="eastAsia" w:cs="宋体"/>
          <w:spacing w:val="-26"/>
          <w:sz w:val="24"/>
          <w:szCs w:val="24"/>
          <w:highlight w:val="none"/>
          <w:lang w:val="en-US" w:eastAsia="zh-CN"/>
        </w:rPr>
        <w:t>益大</w:t>
      </w:r>
      <w:r>
        <w:rPr>
          <w:rFonts w:hint="eastAsia" w:ascii="宋体" w:hAnsi="宋体" w:eastAsia="宋体" w:cs="宋体"/>
          <w:spacing w:val="-26"/>
          <w:sz w:val="24"/>
          <w:szCs w:val="24"/>
          <w:highlight w:val="none"/>
        </w:rPr>
        <w:t>”均</w:t>
      </w:r>
      <w:r>
        <w:rPr>
          <w:rFonts w:hint="eastAsia" w:ascii="宋体" w:hAnsi="宋体" w:eastAsia="宋体" w:cs="宋体"/>
          <w:spacing w:val="-26"/>
          <w:sz w:val="24"/>
          <w:szCs w:val="24"/>
          <w:highlight w:val="none"/>
          <w:lang w:val="en-US"/>
        </w:rPr>
        <w:t>代表</w:t>
      </w:r>
      <w:r>
        <w:rPr>
          <w:rFonts w:hint="eastAsia" w:ascii="宋体" w:hAnsi="宋体" w:eastAsia="宋体" w:cs="宋体"/>
          <w:spacing w:val="-11"/>
          <w:sz w:val="24"/>
          <w:szCs w:val="24"/>
          <w:highlight w:val="none"/>
        </w:rPr>
        <w:t>“</w:t>
      </w:r>
      <w:r>
        <w:rPr>
          <w:rFonts w:hint="eastAsia" w:cs="宋体"/>
          <w:spacing w:val="-11"/>
          <w:sz w:val="24"/>
          <w:szCs w:val="24"/>
          <w:highlight w:val="none"/>
          <w:lang w:eastAsia="zh-CN"/>
        </w:rPr>
        <w:t>益大特钢有限公司</w:t>
      </w:r>
      <w:r>
        <w:rPr>
          <w:rFonts w:hint="eastAsia" w:ascii="宋体" w:hAnsi="宋体" w:eastAsia="宋体" w:cs="宋体"/>
          <w:spacing w:val="-11"/>
          <w:sz w:val="24"/>
          <w:szCs w:val="24"/>
          <w:highlight w:val="none"/>
        </w:rPr>
        <w:t>”。</w:t>
      </w:r>
    </w:p>
    <w:p>
      <w:pPr>
        <w:pStyle w:val="2"/>
        <w:tabs>
          <w:tab w:val="left" w:pos="724"/>
        </w:tabs>
        <w:spacing w:line="360" w:lineRule="auto"/>
        <w:jc w:val="both"/>
        <w:rPr>
          <w:rFonts w:hint="eastAsia" w:ascii="宋体" w:hAnsi="宋体" w:eastAsia="宋体" w:cs="宋体"/>
          <w:sz w:val="24"/>
          <w:szCs w:val="24"/>
          <w:highlight w:val="none"/>
        </w:rPr>
      </w:pPr>
    </w:p>
    <w:sdt>
      <w:sdtPr>
        <w:rPr>
          <w:rFonts w:hint="eastAsia" w:ascii="宋体" w:hAnsi="宋体" w:eastAsia="宋体" w:cs="宋体"/>
          <w:b/>
          <w:bCs/>
          <w:color w:val="auto"/>
          <w:sz w:val="30"/>
          <w:szCs w:val="30"/>
          <w:highlight w:val="none"/>
          <w:lang w:val="zh-CN" w:bidi="zh-CN"/>
        </w:rPr>
        <w:id w:val="1619027494"/>
        <w:docPartObj>
          <w:docPartGallery w:val="Table of Contents"/>
          <w:docPartUnique/>
        </w:docPartObj>
      </w:sdtPr>
      <w:sdtEndPr>
        <w:rPr>
          <w:rFonts w:hint="eastAsia" w:ascii="宋体" w:hAnsi="宋体" w:eastAsia="宋体" w:cs="宋体"/>
          <w:b/>
          <w:bCs/>
          <w:color w:val="auto"/>
          <w:sz w:val="24"/>
          <w:szCs w:val="24"/>
          <w:highlight w:val="none"/>
          <w:lang w:val="zh-CN" w:bidi="zh-CN"/>
        </w:rPr>
      </w:sdtEndPr>
      <w:sdtContent>
        <w:p>
          <w:pPr>
            <w:pStyle w:val="20"/>
            <w:spacing w:line="360" w:lineRule="auto"/>
            <w:jc w:val="center"/>
            <w:rPr>
              <w:rFonts w:hint="eastAsia" w:ascii="宋体" w:hAnsi="宋体" w:eastAsia="宋体" w:cs="宋体"/>
              <w:b/>
              <w:bCs/>
              <w:color w:val="auto"/>
              <w:sz w:val="30"/>
              <w:szCs w:val="30"/>
              <w:highlight w:val="none"/>
            </w:rPr>
          </w:pPr>
          <w:r>
            <w:rPr>
              <w:rFonts w:hint="eastAsia" w:ascii="宋体" w:hAnsi="宋体" w:eastAsia="宋体" w:cs="宋体"/>
              <w:b/>
              <w:bCs/>
              <w:color w:val="auto"/>
              <w:sz w:val="30"/>
              <w:szCs w:val="30"/>
              <w:highlight w:val="none"/>
              <w:lang w:val="zh-CN"/>
            </w:rPr>
            <w:t>目</w:t>
          </w:r>
          <w:r>
            <w:rPr>
              <w:rFonts w:hint="eastAsia" w:ascii="宋体" w:hAnsi="宋体" w:eastAsia="宋体" w:cs="宋体"/>
              <w:b/>
              <w:bCs/>
              <w:color w:val="auto"/>
              <w:sz w:val="30"/>
              <w:szCs w:val="30"/>
              <w:highlight w:val="none"/>
              <w:lang w:val="en-US" w:eastAsia="zh-CN"/>
            </w:rPr>
            <w:t xml:space="preserve"> </w:t>
          </w:r>
          <w:r>
            <w:rPr>
              <w:rFonts w:hint="eastAsia" w:ascii="宋体" w:hAnsi="宋体" w:eastAsia="宋体" w:cs="宋体"/>
              <w:b/>
              <w:bCs/>
              <w:color w:val="auto"/>
              <w:sz w:val="30"/>
              <w:szCs w:val="30"/>
              <w:highlight w:val="none"/>
              <w:lang w:val="zh-CN"/>
            </w:rPr>
            <w:t>录</w:t>
          </w:r>
        </w:p>
        <w:p>
          <w:pPr>
            <w:pStyle w:val="9"/>
            <w:tabs>
              <w:tab w:val="right" w:leader="dot" w:pos="8780"/>
            </w:tabs>
            <w:spacing w:line="360" w:lineRule="auto"/>
            <w:rPr>
              <w:rFonts w:hint="eastAsia" w:ascii="宋体" w:hAnsi="宋体" w:eastAsia="宋体" w:cs="宋体"/>
              <w:kern w:val="2"/>
              <w:sz w:val="24"/>
              <w:szCs w:val="24"/>
              <w:highlight w:val="none"/>
              <w:lang w:val="en-US" w:bidi="ar-SA"/>
            </w:rPr>
          </w:pP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TOC \o "1-3" \h \z \u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HYPERLINK \l "_Toc24531704" </w:instrText>
          </w:r>
          <w:r>
            <w:rPr>
              <w:rFonts w:hint="eastAsia" w:ascii="宋体" w:hAnsi="宋体" w:eastAsia="宋体" w:cs="宋体"/>
              <w:sz w:val="24"/>
              <w:szCs w:val="24"/>
              <w:highlight w:val="none"/>
            </w:rPr>
            <w:fldChar w:fldCharType="separate"/>
          </w:r>
          <w:r>
            <w:rPr>
              <w:rStyle w:val="13"/>
              <w:rFonts w:hint="eastAsia" w:ascii="宋体" w:hAnsi="宋体" w:eastAsia="宋体" w:cs="宋体"/>
              <w:sz w:val="24"/>
              <w:szCs w:val="24"/>
              <w:highlight w:val="none"/>
            </w:rPr>
            <w:t>公司概况</w:t>
          </w:r>
          <w:r>
            <w:rPr>
              <w:rFonts w:hint="eastAsia" w:ascii="宋体" w:hAnsi="宋体" w:eastAsia="宋体" w:cs="宋体"/>
              <w:sz w:val="24"/>
              <w:szCs w:val="24"/>
              <w:highlight w:val="none"/>
            </w:rPr>
            <w:tab/>
          </w: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PAGEREF _Toc24531704 \h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4</w:t>
          </w:r>
          <w:r>
            <w:rPr>
              <w:rFonts w:hint="eastAsia" w:ascii="宋体" w:hAnsi="宋体" w:eastAsia="宋体" w:cs="宋体"/>
              <w:sz w:val="24"/>
              <w:szCs w:val="24"/>
              <w:highlight w:val="none"/>
            </w:rPr>
            <w:fldChar w:fldCharType="end"/>
          </w:r>
          <w:r>
            <w:rPr>
              <w:rFonts w:hint="eastAsia" w:ascii="宋体" w:hAnsi="宋体" w:eastAsia="宋体" w:cs="宋体"/>
              <w:sz w:val="24"/>
              <w:szCs w:val="24"/>
              <w:highlight w:val="none"/>
            </w:rPr>
            <w:fldChar w:fldCharType="end"/>
          </w:r>
        </w:p>
        <w:p>
          <w:pPr>
            <w:pStyle w:val="9"/>
            <w:tabs>
              <w:tab w:val="right" w:leader="dot" w:pos="8780"/>
            </w:tabs>
            <w:spacing w:line="360" w:lineRule="auto"/>
            <w:rPr>
              <w:rFonts w:hint="eastAsia" w:ascii="宋体" w:hAnsi="宋体" w:eastAsia="宋体" w:cs="宋体"/>
              <w:kern w:val="2"/>
              <w:sz w:val="24"/>
              <w:szCs w:val="24"/>
              <w:highlight w:val="none"/>
              <w:lang w:val="en-US" w:bidi="ar-SA"/>
            </w:rPr>
          </w:pP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HYPERLINK \l "_Toc24531705" </w:instrText>
          </w:r>
          <w:r>
            <w:rPr>
              <w:rFonts w:hint="eastAsia" w:ascii="宋体" w:hAnsi="宋体" w:eastAsia="宋体" w:cs="宋体"/>
              <w:sz w:val="24"/>
              <w:szCs w:val="24"/>
              <w:highlight w:val="none"/>
            </w:rPr>
            <w:fldChar w:fldCharType="separate"/>
          </w:r>
          <w:r>
            <w:rPr>
              <w:rStyle w:val="13"/>
              <w:rFonts w:hint="eastAsia" w:ascii="宋体" w:hAnsi="宋体" w:eastAsia="宋体" w:cs="宋体"/>
              <w:sz w:val="24"/>
              <w:szCs w:val="24"/>
              <w:highlight w:val="none"/>
            </w:rPr>
            <w:t>一、责任聚焦</w:t>
          </w:r>
          <w:r>
            <w:rPr>
              <w:rFonts w:hint="eastAsia" w:ascii="宋体" w:hAnsi="宋体" w:eastAsia="宋体" w:cs="宋体"/>
              <w:sz w:val="24"/>
              <w:szCs w:val="24"/>
              <w:highlight w:val="none"/>
            </w:rPr>
            <w:tab/>
          </w: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PAGEREF _Toc24531705 \h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5</w:t>
          </w:r>
          <w:r>
            <w:rPr>
              <w:rFonts w:hint="eastAsia" w:ascii="宋体" w:hAnsi="宋体" w:eastAsia="宋体" w:cs="宋体"/>
              <w:sz w:val="24"/>
              <w:szCs w:val="24"/>
              <w:highlight w:val="none"/>
            </w:rPr>
            <w:fldChar w:fldCharType="end"/>
          </w:r>
          <w:r>
            <w:rPr>
              <w:rFonts w:hint="eastAsia" w:ascii="宋体" w:hAnsi="宋体" w:eastAsia="宋体" w:cs="宋体"/>
              <w:sz w:val="24"/>
              <w:szCs w:val="24"/>
              <w:highlight w:val="none"/>
            </w:rPr>
            <w:fldChar w:fldCharType="end"/>
          </w:r>
        </w:p>
        <w:p>
          <w:pPr>
            <w:pStyle w:val="9"/>
            <w:tabs>
              <w:tab w:val="right" w:leader="dot" w:pos="8780"/>
            </w:tabs>
            <w:spacing w:line="360" w:lineRule="auto"/>
            <w:rPr>
              <w:rFonts w:hint="eastAsia" w:ascii="宋体" w:hAnsi="宋体" w:eastAsia="宋体" w:cs="宋体"/>
              <w:kern w:val="2"/>
              <w:sz w:val="24"/>
              <w:szCs w:val="24"/>
              <w:highlight w:val="none"/>
              <w:lang w:val="en-US" w:bidi="ar-SA"/>
            </w:rPr>
          </w:pP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HYPERLINK \l "_Toc24531706" </w:instrText>
          </w:r>
          <w:r>
            <w:rPr>
              <w:rFonts w:hint="eastAsia" w:ascii="宋体" w:hAnsi="宋体" w:eastAsia="宋体" w:cs="宋体"/>
              <w:sz w:val="24"/>
              <w:szCs w:val="24"/>
              <w:highlight w:val="none"/>
            </w:rPr>
            <w:fldChar w:fldCharType="separate"/>
          </w:r>
          <w:r>
            <w:rPr>
              <w:rStyle w:val="13"/>
              <w:rFonts w:hint="eastAsia" w:ascii="宋体" w:hAnsi="宋体" w:eastAsia="宋体" w:cs="宋体"/>
              <w:sz w:val="24"/>
              <w:szCs w:val="24"/>
              <w:highlight w:val="none"/>
            </w:rPr>
            <w:t>二、战略与管理</w:t>
          </w:r>
          <w:r>
            <w:rPr>
              <w:rFonts w:hint="eastAsia" w:ascii="宋体" w:hAnsi="宋体" w:eastAsia="宋体" w:cs="宋体"/>
              <w:sz w:val="24"/>
              <w:szCs w:val="24"/>
              <w:highlight w:val="none"/>
            </w:rPr>
            <w:tab/>
          </w: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PAGEREF _Toc24531706 \h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7</w:t>
          </w:r>
          <w:r>
            <w:rPr>
              <w:rFonts w:hint="eastAsia" w:ascii="宋体" w:hAnsi="宋体" w:eastAsia="宋体" w:cs="宋体"/>
              <w:sz w:val="24"/>
              <w:szCs w:val="24"/>
              <w:highlight w:val="none"/>
            </w:rPr>
            <w:fldChar w:fldCharType="end"/>
          </w:r>
          <w:r>
            <w:rPr>
              <w:rFonts w:hint="eastAsia" w:ascii="宋体" w:hAnsi="宋体" w:eastAsia="宋体" w:cs="宋体"/>
              <w:sz w:val="24"/>
              <w:szCs w:val="24"/>
              <w:highlight w:val="none"/>
            </w:rPr>
            <w:fldChar w:fldCharType="end"/>
          </w:r>
        </w:p>
        <w:p>
          <w:pPr>
            <w:pStyle w:val="9"/>
            <w:tabs>
              <w:tab w:val="right" w:leader="dot" w:pos="8780"/>
            </w:tabs>
            <w:spacing w:line="360" w:lineRule="auto"/>
            <w:rPr>
              <w:rFonts w:hint="eastAsia" w:ascii="宋体" w:hAnsi="宋体" w:eastAsia="宋体" w:cs="宋体"/>
              <w:kern w:val="2"/>
              <w:sz w:val="24"/>
              <w:szCs w:val="24"/>
              <w:highlight w:val="none"/>
              <w:lang w:val="en-US" w:bidi="ar-SA"/>
            </w:rPr>
          </w:pP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HYPERLINK \l "_Toc24531707" </w:instrText>
          </w:r>
          <w:r>
            <w:rPr>
              <w:rFonts w:hint="eastAsia" w:ascii="宋体" w:hAnsi="宋体" w:eastAsia="宋体" w:cs="宋体"/>
              <w:sz w:val="24"/>
              <w:szCs w:val="24"/>
              <w:highlight w:val="none"/>
            </w:rPr>
            <w:fldChar w:fldCharType="separate"/>
          </w:r>
          <w:r>
            <w:rPr>
              <w:rStyle w:val="13"/>
              <w:rFonts w:hint="eastAsia" w:ascii="宋体" w:hAnsi="宋体" w:eastAsia="宋体" w:cs="宋体"/>
              <w:sz w:val="24"/>
              <w:szCs w:val="24"/>
              <w:highlight w:val="none"/>
            </w:rPr>
            <w:t>三、守法合规</w:t>
          </w:r>
          <w:r>
            <w:rPr>
              <w:rFonts w:hint="eastAsia" w:ascii="宋体" w:hAnsi="宋体" w:eastAsia="宋体" w:cs="宋体"/>
              <w:sz w:val="24"/>
              <w:szCs w:val="24"/>
              <w:highlight w:val="none"/>
            </w:rPr>
            <w:tab/>
          </w: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PAGEREF _Toc24531707 \h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21</w:t>
          </w:r>
          <w:r>
            <w:rPr>
              <w:rFonts w:hint="eastAsia" w:ascii="宋体" w:hAnsi="宋体" w:eastAsia="宋体" w:cs="宋体"/>
              <w:sz w:val="24"/>
              <w:szCs w:val="24"/>
              <w:highlight w:val="none"/>
            </w:rPr>
            <w:fldChar w:fldCharType="end"/>
          </w:r>
          <w:r>
            <w:rPr>
              <w:rFonts w:hint="eastAsia" w:ascii="宋体" w:hAnsi="宋体" w:eastAsia="宋体" w:cs="宋体"/>
              <w:sz w:val="24"/>
              <w:szCs w:val="24"/>
              <w:highlight w:val="none"/>
            </w:rPr>
            <w:fldChar w:fldCharType="end"/>
          </w:r>
        </w:p>
        <w:p>
          <w:pPr>
            <w:pStyle w:val="9"/>
            <w:tabs>
              <w:tab w:val="right" w:leader="dot" w:pos="8780"/>
            </w:tabs>
            <w:spacing w:line="360" w:lineRule="auto"/>
            <w:rPr>
              <w:rFonts w:hint="eastAsia" w:ascii="宋体" w:hAnsi="宋体" w:eastAsia="宋体" w:cs="宋体"/>
              <w:kern w:val="2"/>
              <w:sz w:val="24"/>
              <w:szCs w:val="24"/>
              <w:highlight w:val="none"/>
              <w:lang w:val="en-US" w:bidi="ar-SA"/>
            </w:rPr>
          </w:pP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HYPERLINK \l "_Toc24531708" </w:instrText>
          </w:r>
          <w:r>
            <w:rPr>
              <w:rFonts w:hint="eastAsia" w:ascii="宋体" w:hAnsi="宋体" w:eastAsia="宋体" w:cs="宋体"/>
              <w:sz w:val="24"/>
              <w:szCs w:val="24"/>
              <w:highlight w:val="none"/>
            </w:rPr>
            <w:fldChar w:fldCharType="separate"/>
          </w:r>
          <w:r>
            <w:rPr>
              <w:rStyle w:val="13"/>
              <w:rFonts w:hint="eastAsia" w:ascii="宋体" w:hAnsi="宋体" w:eastAsia="宋体" w:cs="宋体"/>
              <w:sz w:val="24"/>
              <w:szCs w:val="24"/>
              <w:highlight w:val="none"/>
            </w:rPr>
            <w:t>四、回报股东</w:t>
          </w:r>
          <w:r>
            <w:rPr>
              <w:rFonts w:hint="eastAsia" w:ascii="宋体" w:hAnsi="宋体" w:eastAsia="宋体" w:cs="宋体"/>
              <w:sz w:val="24"/>
              <w:szCs w:val="24"/>
              <w:highlight w:val="none"/>
            </w:rPr>
            <w:tab/>
          </w: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PAGEREF _Toc24531708 \h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21</w:t>
          </w:r>
          <w:r>
            <w:rPr>
              <w:rFonts w:hint="eastAsia" w:ascii="宋体" w:hAnsi="宋体" w:eastAsia="宋体" w:cs="宋体"/>
              <w:sz w:val="24"/>
              <w:szCs w:val="24"/>
              <w:highlight w:val="none"/>
            </w:rPr>
            <w:fldChar w:fldCharType="end"/>
          </w:r>
          <w:r>
            <w:rPr>
              <w:rFonts w:hint="eastAsia" w:ascii="宋体" w:hAnsi="宋体" w:eastAsia="宋体" w:cs="宋体"/>
              <w:sz w:val="24"/>
              <w:szCs w:val="24"/>
              <w:highlight w:val="none"/>
            </w:rPr>
            <w:fldChar w:fldCharType="end"/>
          </w:r>
        </w:p>
        <w:p>
          <w:pPr>
            <w:pStyle w:val="9"/>
            <w:tabs>
              <w:tab w:val="right" w:leader="dot" w:pos="8780"/>
            </w:tabs>
            <w:spacing w:line="360" w:lineRule="auto"/>
            <w:rPr>
              <w:rFonts w:hint="eastAsia" w:ascii="宋体" w:hAnsi="宋体" w:eastAsia="宋体" w:cs="宋体"/>
              <w:kern w:val="2"/>
              <w:sz w:val="24"/>
              <w:szCs w:val="24"/>
              <w:highlight w:val="none"/>
              <w:lang w:val="en-US" w:bidi="ar-SA"/>
            </w:rPr>
          </w:pP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HYPERLINK \l "_Toc24531709" </w:instrText>
          </w:r>
          <w:r>
            <w:rPr>
              <w:rFonts w:hint="eastAsia" w:ascii="宋体" w:hAnsi="宋体" w:eastAsia="宋体" w:cs="宋体"/>
              <w:sz w:val="24"/>
              <w:szCs w:val="24"/>
              <w:highlight w:val="none"/>
            </w:rPr>
            <w:fldChar w:fldCharType="separate"/>
          </w:r>
          <w:r>
            <w:rPr>
              <w:rStyle w:val="13"/>
              <w:rFonts w:hint="eastAsia" w:ascii="宋体" w:hAnsi="宋体" w:eastAsia="宋体" w:cs="宋体"/>
              <w:sz w:val="24"/>
              <w:szCs w:val="24"/>
              <w:highlight w:val="none"/>
            </w:rPr>
            <w:t>五、服务客户</w:t>
          </w:r>
          <w:r>
            <w:rPr>
              <w:rFonts w:hint="eastAsia" w:ascii="宋体" w:hAnsi="宋体" w:eastAsia="宋体" w:cs="宋体"/>
              <w:sz w:val="24"/>
              <w:szCs w:val="24"/>
              <w:highlight w:val="none"/>
            </w:rPr>
            <w:tab/>
          </w: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PAGEREF _Toc24531709 \h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22</w:t>
          </w:r>
          <w:r>
            <w:rPr>
              <w:rFonts w:hint="eastAsia" w:ascii="宋体" w:hAnsi="宋体" w:eastAsia="宋体" w:cs="宋体"/>
              <w:sz w:val="24"/>
              <w:szCs w:val="24"/>
              <w:highlight w:val="none"/>
            </w:rPr>
            <w:fldChar w:fldCharType="end"/>
          </w:r>
          <w:r>
            <w:rPr>
              <w:rFonts w:hint="eastAsia" w:ascii="宋体" w:hAnsi="宋体" w:eastAsia="宋体" w:cs="宋体"/>
              <w:sz w:val="24"/>
              <w:szCs w:val="24"/>
              <w:highlight w:val="none"/>
            </w:rPr>
            <w:fldChar w:fldCharType="end"/>
          </w:r>
        </w:p>
        <w:p>
          <w:pPr>
            <w:pStyle w:val="9"/>
            <w:tabs>
              <w:tab w:val="right" w:leader="dot" w:pos="8780"/>
            </w:tabs>
            <w:spacing w:line="360" w:lineRule="auto"/>
            <w:rPr>
              <w:rFonts w:hint="eastAsia" w:ascii="宋体" w:hAnsi="宋体" w:eastAsia="宋体" w:cs="宋体"/>
              <w:kern w:val="2"/>
              <w:sz w:val="24"/>
              <w:szCs w:val="24"/>
              <w:highlight w:val="none"/>
              <w:lang w:val="en-US" w:bidi="ar-SA"/>
            </w:rPr>
          </w:pP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HYPERLINK \l "_Toc24531710" </w:instrText>
          </w:r>
          <w:r>
            <w:rPr>
              <w:rFonts w:hint="eastAsia" w:ascii="宋体" w:hAnsi="宋体" w:eastAsia="宋体" w:cs="宋体"/>
              <w:sz w:val="24"/>
              <w:szCs w:val="24"/>
              <w:highlight w:val="none"/>
            </w:rPr>
            <w:fldChar w:fldCharType="separate"/>
          </w:r>
          <w:r>
            <w:rPr>
              <w:rStyle w:val="13"/>
              <w:rFonts w:hint="eastAsia" w:ascii="宋体" w:hAnsi="宋体" w:eastAsia="宋体" w:cs="宋体"/>
              <w:sz w:val="24"/>
              <w:szCs w:val="24"/>
              <w:highlight w:val="none"/>
            </w:rPr>
            <w:t>六、造福员工</w:t>
          </w:r>
          <w:r>
            <w:rPr>
              <w:rFonts w:hint="eastAsia" w:ascii="宋体" w:hAnsi="宋体" w:eastAsia="宋体" w:cs="宋体"/>
              <w:sz w:val="24"/>
              <w:szCs w:val="24"/>
              <w:highlight w:val="none"/>
            </w:rPr>
            <w:tab/>
          </w: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PAGEREF _Toc24531710 \h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22</w:t>
          </w:r>
          <w:r>
            <w:rPr>
              <w:rFonts w:hint="eastAsia" w:ascii="宋体" w:hAnsi="宋体" w:eastAsia="宋体" w:cs="宋体"/>
              <w:sz w:val="24"/>
              <w:szCs w:val="24"/>
              <w:highlight w:val="none"/>
            </w:rPr>
            <w:fldChar w:fldCharType="end"/>
          </w:r>
          <w:r>
            <w:rPr>
              <w:rFonts w:hint="eastAsia" w:ascii="宋体" w:hAnsi="宋体" w:eastAsia="宋体" w:cs="宋体"/>
              <w:sz w:val="24"/>
              <w:szCs w:val="24"/>
              <w:highlight w:val="none"/>
            </w:rPr>
            <w:fldChar w:fldCharType="end"/>
          </w:r>
        </w:p>
        <w:p>
          <w:pPr>
            <w:pStyle w:val="9"/>
            <w:tabs>
              <w:tab w:val="right" w:leader="dot" w:pos="8780"/>
            </w:tabs>
            <w:spacing w:line="360" w:lineRule="auto"/>
            <w:rPr>
              <w:rFonts w:hint="eastAsia" w:ascii="宋体" w:hAnsi="宋体" w:eastAsia="宋体" w:cs="宋体"/>
              <w:kern w:val="2"/>
              <w:sz w:val="24"/>
              <w:szCs w:val="24"/>
              <w:highlight w:val="none"/>
              <w:lang w:val="en-US" w:bidi="ar-SA"/>
            </w:rPr>
          </w:pP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HYPERLINK \l "_Toc24531711" </w:instrText>
          </w:r>
          <w:r>
            <w:rPr>
              <w:rFonts w:hint="eastAsia" w:ascii="宋体" w:hAnsi="宋体" w:eastAsia="宋体" w:cs="宋体"/>
              <w:sz w:val="24"/>
              <w:szCs w:val="24"/>
              <w:highlight w:val="none"/>
            </w:rPr>
            <w:fldChar w:fldCharType="separate"/>
          </w:r>
          <w:r>
            <w:rPr>
              <w:rStyle w:val="13"/>
              <w:rFonts w:hint="eastAsia" w:ascii="宋体" w:hAnsi="宋体" w:eastAsia="宋体" w:cs="宋体"/>
              <w:sz w:val="24"/>
              <w:szCs w:val="24"/>
              <w:highlight w:val="none"/>
            </w:rPr>
            <w:t>七、奉献社会</w:t>
          </w:r>
          <w:r>
            <w:rPr>
              <w:rFonts w:hint="eastAsia" w:ascii="宋体" w:hAnsi="宋体" w:eastAsia="宋体" w:cs="宋体"/>
              <w:sz w:val="24"/>
              <w:szCs w:val="24"/>
              <w:highlight w:val="none"/>
            </w:rPr>
            <w:tab/>
          </w: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PAGEREF _Toc24531711 \h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25</w:t>
          </w:r>
          <w:r>
            <w:rPr>
              <w:rFonts w:hint="eastAsia" w:ascii="宋体" w:hAnsi="宋体" w:eastAsia="宋体" w:cs="宋体"/>
              <w:sz w:val="24"/>
              <w:szCs w:val="24"/>
              <w:highlight w:val="none"/>
            </w:rPr>
            <w:fldChar w:fldCharType="end"/>
          </w:r>
          <w:r>
            <w:rPr>
              <w:rFonts w:hint="eastAsia" w:ascii="宋体" w:hAnsi="宋体" w:eastAsia="宋体" w:cs="宋体"/>
              <w:sz w:val="24"/>
              <w:szCs w:val="24"/>
              <w:highlight w:val="none"/>
            </w:rPr>
            <w:fldChar w:fldCharType="end"/>
          </w:r>
        </w:p>
        <w:p>
          <w:pPr>
            <w:pStyle w:val="9"/>
            <w:tabs>
              <w:tab w:val="right" w:leader="dot" w:pos="8780"/>
            </w:tabs>
            <w:spacing w:line="360" w:lineRule="auto"/>
            <w:rPr>
              <w:rFonts w:hint="eastAsia" w:ascii="宋体" w:hAnsi="宋体" w:eastAsia="宋体" w:cs="宋体"/>
              <w:kern w:val="2"/>
              <w:sz w:val="24"/>
              <w:szCs w:val="24"/>
              <w:highlight w:val="none"/>
              <w:lang w:val="en-US" w:bidi="ar-SA"/>
            </w:rPr>
          </w:pP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HYPERLINK \l "_Toc24531712" </w:instrText>
          </w:r>
          <w:r>
            <w:rPr>
              <w:rFonts w:hint="eastAsia" w:ascii="宋体" w:hAnsi="宋体" w:eastAsia="宋体" w:cs="宋体"/>
              <w:sz w:val="24"/>
              <w:szCs w:val="24"/>
              <w:highlight w:val="none"/>
            </w:rPr>
            <w:fldChar w:fldCharType="separate"/>
          </w:r>
          <w:r>
            <w:rPr>
              <w:rStyle w:val="13"/>
              <w:rFonts w:hint="eastAsia" w:ascii="宋体" w:hAnsi="宋体" w:eastAsia="宋体" w:cs="宋体"/>
              <w:spacing w:val="-1"/>
              <w:sz w:val="24"/>
              <w:szCs w:val="24"/>
              <w:highlight w:val="none"/>
            </w:rPr>
            <w:t>八、合作伙伴</w:t>
          </w:r>
          <w:r>
            <w:rPr>
              <w:rFonts w:hint="eastAsia" w:ascii="宋体" w:hAnsi="宋体" w:eastAsia="宋体" w:cs="宋体"/>
              <w:sz w:val="24"/>
              <w:szCs w:val="24"/>
              <w:highlight w:val="none"/>
            </w:rPr>
            <w:tab/>
          </w: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PAGEREF _Toc24531712 \h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26</w:t>
          </w:r>
          <w:r>
            <w:rPr>
              <w:rFonts w:hint="eastAsia" w:ascii="宋体" w:hAnsi="宋体" w:eastAsia="宋体" w:cs="宋体"/>
              <w:sz w:val="24"/>
              <w:szCs w:val="24"/>
              <w:highlight w:val="none"/>
            </w:rPr>
            <w:fldChar w:fldCharType="end"/>
          </w:r>
          <w:r>
            <w:rPr>
              <w:rFonts w:hint="eastAsia" w:ascii="宋体" w:hAnsi="宋体" w:eastAsia="宋体" w:cs="宋体"/>
              <w:sz w:val="24"/>
              <w:szCs w:val="24"/>
              <w:highlight w:val="none"/>
            </w:rPr>
            <w:fldChar w:fldCharType="end"/>
          </w:r>
        </w:p>
        <w:p>
          <w:pPr>
            <w:pStyle w:val="9"/>
            <w:tabs>
              <w:tab w:val="right" w:leader="dot" w:pos="8780"/>
            </w:tabs>
            <w:spacing w:line="360" w:lineRule="auto"/>
            <w:rPr>
              <w:rFonts w:hint="eastAsia" w:ascii="宋体" w:hAnsi="宋体" w:eastAsia="宋体" w:cs="宋体"/>
              <w:kern w:val="2"/>
              <w:sz w:val="24"/>
              <w:szCs w:val="24"/>
              <w:highlight w:val="none"/>
              <w:lang w:val="en-US" w:bidi="ar-SA"/>
            </w:rPr>
          </w:pP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HYPERLINK \l "_Toc24531713" </w:instrText>
          </w:r>
          <w:r>
            <w:rPr>
              <w:rFonts w:hint="eastAsia" w:ascii="宋体" w:hAnsi="宋体" w:eastAsia="宋体" w:cs="宋体"/>
              <w:sz w:val="24"/>
              <w:szCs w:val="24"/>
              <w:highlight w:val="none"/>
            </w:rPr>
            <w:fldChar w:fldCharType="separate"/>
          </w:r>
          <w:r>
            <w:rPr>
              <w:rStyle w:val="13"/>
              <w:rFonts w:hint="eastAsia" w:ascii="宋体" w:hAnsi="宋体" w:eastAsia="宋体" w:cs="宋体"/>
              <w:sz w:val="24"/>
              <w:szCs w:val="24"/>
              <w:highlight w:val="none"/>
            </w:rPr>
            <w:t>九、存在问题及改进</w:t>
          </w:r>
          <w:r>
            <w:rPr>
              <w:rFonts w:hint="eastAsia" w:ascii="宋体" w:hAnsi="宋体" w:eastAsia="宋体" w:cs="宋体"/>
              <w:sz w:val="24"/>
              <w:szCs w:val="24"/>
              <w:highlight w:val="none"/>
            </w:rPr>
            <w:tab/>
          </w: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PAGEREF _Toc24531713 \h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26</w:t>
          </w:r>
          <w:r>
            <w:rPr>
              <w:rFonts w:hint="eastAsia" w:ascii="宋体" w:hAnsi="宋体" w:eastAsia="宋体" w:cs="宋体"/>
              <w:sz w:val="24"/>
              <w:szCs w:val="24"/>
              <w:highlight w:val="none"/>
            </w:rPr>
            <w:fldChar w:fldCharType="end"/>
          </w:r>
          <w:r>
            <w:rPr>
              <w:rFonts w:hint="eastAsia" w:ascii="宋体" w:hAnsi="宋体" w:eastAsia="宋体" w:cs="宋体"/>
              <w:sz w:val="24"/>
              <w:szCs w:val="24"/>
              <w:highlight w:val="none"/>
            </w:rPr>
            <w:fldChar w:fldCharType="end"/>
          </w:r>
        </w:p>
        <w:p>
          <w:pPr>
            <w:spacing w:line="360" w:lineRule="auto"/>
            <w:rPr>
              <w:rFonts w:hint="eastAsia" w:ascii="宋体" w:hAnsi="宋体" w:eastAsia="宋体" w:cs="宋体"/>
              <w:sz w:val="24"/>
              <w:szCs w:val="24"/>
              <w:highlight w:val="none"/>
            </w:rPr>
          </w:pPr>
          <w:r>
            <w:rPr>
              <w:rFonts w:hint="eastAsia" w:ascii="宋体" w:hAnsi="宋体" w:eastAsia="宋体" w:cs="宋体"/>
              <w:b/>
              <w:bCs/>
              <w:sz w:val="24"/>
              <w:szCs w:val="24"/>
              <w:highlight w:val="none"/>
            </w:rPr>
            <w:fldChar w:fldCharType="end"/>
          </w:r>
        </w:p>
      </w:sdtContent>
    </w:sdt>
    <w:p>
      <w:pPr>
        <w:pStyle w:val="3"/>
        <w:spacing w:before="143" w:line="360" w:lineRule="auto"/>
        <w:ind w:left="0" w:right="235"/>
        <w:jc w:val="center"/>
        <w:rPr>
          <w:rFonts w:hint="eastAsia" w:ascii="宋体" w:hAnsi="宋体" w:eastAsia="宋体" w:cs="宋体"/>
          <w:sz w:val="24"/>
          <w:szCs w:val="24"/>
          <w:highlight w:val="none"/>
        </w:rPr>
      </w:pPr>
    </w:p>
    <w:p>
      <w:pPr>
        <w:pStyle w:val="3"/>
        <w:spacing w:before="143" w:line="360" w:lineRule="auto"/>
        <w:ind w:left="0" w:right="235"/>
        <w:jc w:val="center"/>
        <w:rPr>
          <w:rFonts w:hint="eastAsia" w:ascii="宋体" w:hAnsi="宋体" w:eastAsia="宋体" w:cs="宋体"/>
          <w:sz w:val="24"/>
          <w:szCs w:val="24"/>
          <w:highlight w:val="none"/>
        </w:rPr>
      </w:pPr>
    </w:p>
    <w:p>
      <w:pPr>
        <w:pStyle w:val="3"/>
        <w:spacing w:before="143" w:line="360" w:lineRule="auto"/>
        <w:ind w:left="0" w:right="235"/>
        <w:jc w:val="center"/>
        <w:rPr>
          <w:rFonts w:hint="eastAsia" w:ascii="宋体" w:hAnsi="宋体" w:eastAsia="宋体" w:cs="宋体"/>
          <w:sz w:val="24"/>
          <w:szCs w:val="24"/>
          <w:highlight w:val="none"/>
        </w:rPr>
      </w:pPr>
    </w:p>
    <w:p>
      <w:pPr>
        <w:pStyle w:val="3"/>
        <w:spacing w:before="143" w:line="360" w:lineRule="auto"/>
        <w:ind w:left="0" w:right="235"/>
        <w:jc w:val="center"/>
        <w:rPr>
          <w:rFonts w:hint="eastAsia" w:ascii="宋体" w:hAnsi="宋体" w:eastAsia="宋体" w:cs="宋体"/>
          <w:sz w:val="24"/>
          <w:szCs w:val="24"/>
          <w:highlight w:val="none"/>
        </w:rPr>
      </w:pPr>
    </w:p>
    <w:p>
      <w:pPr>
        <w:pStyle w:val="3"/>
        <w:spacing w:before="143" w:line="360" w:lineRule="auto"/>
        <w:ind w:left="0" w:right="235"/>
        <w:jc w:val="center"/>
        <w:rPr>
          <w:rFonts w:hint="eastAsia" w:ascii="宋体" w:hAnsi="宋体" w:eastAsia="宋体" w:cs="宋体"/>
          <w:sz w:val="24"/>
          <w:szCs w:val="24"/>
          <w:highlight w:val="none"/>
        </w:rPr>
      </w:pPr>
    </w:p>
    <w:p>
      <w:pPr>
        <w:pStyle w:val="3"/>
        <w:spacing w:before="143" w:line="360" w:lineRule="auto"/>
        <w:ind w:left="0" w:right="235"/>
        <w:jc w:val="center"/>
        <w:rPr>
          <w:rFonts w:hint="eastAsia" w:ascii="宋体" w:hAnsi="宋体" w:eastAsia="宋体" w:cs="宋体"/>
          <w:sz w:val="24"/>
          <w:szCs w:val="24"/>
          <w:highlight w:val="none"/>
        </w:rPr>
      </w:pPr>
    </w:p>
    <w:p>
      <w:pPr>
        <w:pStyle w:val="3"/>
        <w:spacing w:before="143" w:line="360" w:lineRule="auto"/>
        <w:ind w:left="0" w:right="235"/>
        <w:jc w:val="both"/>
        <w:rPr>
          <w:rFonts w:hint="eastAsia" w:ascii="宋体" w:hAnsi="宋体" w:eastAsia="宋体" w:cs="宋体"/>
          <w:sz w:val="24"/>
          <w:szCs w:val="24"/>
          <w:highlight w:val="none"/>
        </w:rPr>
      </w:pPr>
    </w:p>
    <w:p>
      <w:pPr>
        <w:pStyle w:val="3"/>
        <w:spacing w:before="143" w:line="360" w:lineRule="auto"/>
        <w:ind w:left="0" w:right="235"/>
        <w:jc w:val="center"/>
        <w:rPr>
          <w:rFonts w:hint="eastAsia" w:ascii="宋体" w:hAnsi="宋体" w:eastAsia="宋体" w:cs="宋体"/>
          <w:sz w:val="44"/>
          <w:szCs w:val="44"/>
          <w:highlight w:val="none"/>
        </w:rPr>
      </w:pPr>
      <w:bookmarkStart w:id="0" w:name="_Toc24531704"/>
      <w:r>
        <w:rPr>
          <w:rFonts w:hint="eastAsia" w:ascii="宋体" w:hAnsi="宋体" w:eastAsia="宋体" w:cs="宋体"/>
          <w:b/>
          <w:bCs/>
          <w:sz w:val="44"/>
          <w:szCs w:val="44"/>
          <w:highlight w:val="none"/>
        </w:rPr>
        <w:t>公司概况</w:t>
      </w:r>
      <w:bookmarkEnd w:id="0"/>
    </w:p>
    <w:p>
      <w:pPr>
        <w:spacing w:line="400" w:lineRule="exact"/>
        <w:ind w:firstLine="480"/>
        <w:jc w:val="both"/>
        <w:rPr>
          <w:rFonts w:hint="eastAsia" w:cs="宋体" w:asciiTheme="minorEastAsia" w:hAnsiTheme="minorEastAsia"/>
          <w:sz w:val="24"/>
          <w:szCs w:val="24"/>
          <w:lang w:val="en-US" w:eastAsia="zh-CN"/>
        </w:rPr>
      </w:pPr>
      <w:bookmarkStart w:id="1" w:name="一、责任聚焦"/>
      <w:bookmarkEnd w:id="1"/>
      <w:bookmarkStart w:id="2" w:name="_Toc24531705"/>
      <w:r>
        <w:rPr>
          <w:rFonts w:hint="eastAsia" w:cs="宋体" w:asciiTheme="minorEastAsia" w:hAnsiTheme="minorEastAsia"/>
          <w:sz w:val="24"/>
          <w:szCs w:val="24"/>
          <w:lang w:val="en-US" w:eastAsia="zh-CN"/>
        </w:rPr>
        <w:t>益大特钢有限公司坐落于浙江省丽水市松阳县，公司占地面积约4万余平方米，拥有工程技术人员20余人，生产员工75余人，是一家专业生产经营大口径厚壁不锈钢钢管的高新技术企业，下设销售部、采购部、质量部、生产部、行政部等职能部门。由我们开发生产的化工、医药、石油、造船、造纸、化纤等使用的优质大口径厚壁不锈钢钢管，产品质量更加稳定，市场份额逐步扩大。</w:t>
      </w:r>
    </w:p>
    <w:p>
      <w:pPr>
        <w:spacing w:line="400" w:lineRule="exact"/>
        <w:ind w:firstLine="480"/>
        <w:jc w:val="both"/>
        <w:rPr>
          <w:rFonts w:hint="default" w:cs="宋体" w:asciiTheme="minorEastAsia" w:hAnsiTheme="minorEastAsia"/>
          <w:sz w:val="24"/>
          <w:szCs w:val="24"/>
          <w:lang w:val="en-US" w:eastAsia="zh-CN"/>
        </w:rPr>
      </w:pPr>
      <w:r>
        <w:rPr>
          <w:rFonts w:hint="eastAsia" w:cs="宋体" w:asciiTheme="minorEastAsia" w:hAnsiTheme="minorEastAsia"/>
          <w:sz w:val="24"/>
          <w:szCs w:val="24"/>
          <w:lang w:val="en-US" w:eastAsia="zh-CN"/>
        </w:rPr>
        <w:t>益大特钢有限公司可以生产159mm-1200mm的无缝钢管，材料范围包含了奥氏体不锈钢（304、304L、316L、321、321H、347等）、奥氏体-马氏体双相（S31803、S32205、S32750、S32760等）、蒙乃尔合金（400、800、625、8020等）等材料范围。</w:t>
      </w:r>
    </w:p>
    <w:p>
      <w:pPr>
        <w:spacing w:line="400" w:lineRule="exact"/>
        <w:ind w:firstLine="480"/>
        <w:jc w:val="both"/>
        <w:rPr>
          <w:rFonts w:hint="default"/>
          <w:lang w:val="en-US" w:eastAsia="zh-CN"/>
        </w:rPr>
      </w:pPr>
      <w:r>
        <w:rPr>
          <w:rFonts w:hint="eastAsia" w:cs="宋体" w:asciiTheme="minorEastAsia" w:hAnsiTheme="minorEastAsia"/>
          <w:sz w:val="24"/>
          <w:szCs w:val="24"/>
          <w:lang w:val="en-US" w:eastAsia="zh-CN"/>
        </w:rPr>
        <w:t>公司具有独立的研发团队和检验团队，为产品的研发和产品的质量保证提供了保障。</w:t>
      </w:r>
    </w:p>
    <w:p>
      <w:pPr>
        <w:spacing w:line="400" w:lineRule="exact"/>
        <w:ind w:firstLine="480"/>
        <w:jc w:val="both"/>
        <w:rPr>
          <w:rFonts w:hint="default" w:cs="宋体" w:asciiTheme="minorEastAsia" w:hAnsiTheme="minorEastAsia"/>
          <w:sz w:val="24"/>
          <w:szCs w:val="24"/>
          <w:lang w:val="en-US" w:eastAsia="zh-CN"/>
        </w:rPr>
      </w:pPr>
      <w:r>
        <w:rPr>
          <w:rFonts w:hint="eastAsia" w:cs="宋体" w:asciiTheme="minorEastAsia" w:hAnsiTheme="minorEastAsia"/>
          <w:sz w:val="24"/>
          <w:szCs w:val="24"/>
          <w:lang w:val="en-US" w:eastAsia="zh-CN"/>
        </w:rPr>
        <w:t>公司于2020年斥巨资增加了大口径水压试验机、涡流超声一体机等检测设备，为产品的质量保证提供了优质的保障服务。</w:t>
      </w:r>
    </w:p>
    <w:p>
      <w:pPr>
        <w:spacing w:line="400" w:lineRule="exact"/>
        <w:ind w:firstLine="480"/>
        <w:jc w:val="both"/>
        <w:rPr>
          <w:rFonts w:hint="default" w:cs="宋体" w:asciiTheme="minorEastAsia" w:hAnsiTheme="minorEastAsia"/>
          <w:sz w:val="24"/>
          <w:szCs w:val="24"/>
          <w:lang w:val="en-US" w:eastAsia="zh-CN"/>
        </w:rPr>
      </w:pPr>
      <w:r>
        <w:rPr>
          <w:rFonts w:hint="eastAsia" w:cs="宋体" w:asciiTheme="minorEastAsia" w:hAnsiTheme="minorEastAsia"/>
          <w:sz w:val="24"/>
          <w:szCs w:val="24"/>
          <w:lang w:val="en-US" w:eastAsia="zh-CN"/>
        </w:rPr>
        <w:t>公司按照TSG 08-2019《特种设备使用管理规则》、TSG 07-2019《特种设备生产和充装单位许可规则》建立了质量保证体系，并设置了质量保证体系个系统负责人。</w:t>
      </w:r>
    </w:p>
    <w:p>
      <w:pPr>
        <w:spacing w:line="400" w:lineRule="exact"/>
        <w:ind w:firstLine="480"/>
        <w:jc w:val="both"/>
        <w:rPr>
          <w:rFonts w:hint="eastAsia" w:cs="宋体" w:asciiTheme="minorEastAsia" w:hAnsiTheme="minorEastAsia"/>
          <w:sz w:val="24"/>
          <w:szCs w:val="24"/>
          <w:lang w:val="en-US" w:eastAsia="zh-CN"/>
        </w:rPr>
      </w:pPr>
      <w:r>
        <w:rPr>
          <w:rFonts w:hint="eastAsia" w:cs="宋体" w:asciiTheme="minorEastAsia" w:hAnsiTheme="minorEastAsia"/>
          <w:sz w:val="24"/>
          <w:szCs w:val="24"/>
          <w:lang w:val="en-US" w:eastAsia="zh-CN"/>
        </w:rPr>
        <w:t>“载下梧桐树、引来金凤凰”，这是益大招才引智的宗旨，在这个理念的引导下，益大不断的引进高层次、高素质的专业技术人才和博学通晓的高级管理人才，从而保障企业的健康快速发展，更强的保证了益大产品的稳定性和可靠性。同时采用适合国情的国际先进经营管理模式，建立了完善的企业管理体系、质量管理体系和科学实用的市场营销战略战术，丰富了企业的经营管理手段，保障了企业的健康发展。</w:t>
      </w:r>
    </w:p>
    <w:p>
      <w:pPr>
        <w:spacing w:line="400" w:lineRule="exact"/>
        <w:ind w:firstLine="480"/>
        <w:jc w:val="both"/>
        <w:rPr>
          <w:rFonts w:hint="eastAsia" w:cs="宋体" w:asciiTheme="minorEastAsia" w:hAnsiTheme="minorEastAsia"/>
          <w:sz w:val="24"/>
          <w:szCs w:val="24"/>
          <w:lang w:val="en-US" w:eastAsia="zh-CN"/>
        </w:rPr>
      </w:pPr>
      <w:r>
        <w:rPr>
          <w:rFonts w:hint="eastAsia" w:cs="宋体" w:asciiTheme="minorEastAsia" w:hAnsiTheme="minorEastAsia"/>
          <w:sz w:val="24"/>
          <w:szCs w:val="24"/>
          <w:lang w:val="en-US" w:eastAsia="zh-CN"/>
        </w:rPr>
        <w:t>诚信缔造益大，共赢你我发展！</w:t>
      </w:r>
    </w:p>
    <w:p>
      <w:pPr>
        <w:spacing w:line="400" w:lineRule="exact"/>
        <w:ind w:firstLine="480"/>
        <w:jc w:val="both"/>
        <w:rPr>
          <w:rFonts w:hint="eastAsia" w:cs="宋体" w:asciiTheme="minorEastAsia" w:hAnsiTheme="minorEastAsia"/>
          <w:sz w:val="24"/>
          <w:szCs w:val="24"/>
          <w:lang w:val="en-US" w:eastAsia="zh-CN"/>
        </w:rPr>
      </w:pPr>
    </w:p>
    <w:p>
      <w:pPr>
        <w:pStyle w:val="2"/>
        <w:rPr>
          <w:rFonts w:hint="eastAsia" w:cs="宋体" w:asciiTheme="minorEastAsia" w:hAnsiTheme="minorEastAsia"/>
          <w:sz w:val="24"/>
          <w:szCs w:val="24"/>
          <w:lang w:val="en-US" w:eastAsia="zh-CN"/>
        </w:rPr>
      </w:pPr>
    </w:p>
    <w:p>
      <w:pPr>
        <w:rPr>
          <w:rFonts w:hint="default"/>
          <w:lang w:val="en-US" w:eastAsia="zh-CN"/>
        </w:rPr>
      </w:pPr>
      <w:r>
        <w:rPr>
          <w:rFonts w:hint="eastAsia" w:cs="宋体" w:asciiTheme="minorEastAsia" w:hAnsiTheme="minorEastAsia"/>
          <w:sz w:val="24"/>
          <w:szCs w:val="24"/>
          <w:lang w:val="en-US" w:eastAsia="zh-CN"/>
        </w:rPr>
        <w:t xml:space="preserve">   地址：浙江省丽水市松阳县西屏街道瑞阳大道225号</w:t>
      </w:r>
    </w:p>
    <w:p>
      <w:pPr>
        <w:spacing w:line="400" w:lineRule="exact"/>
        <w:jc w:val="both"/>
        <w:rPr>
          <w:rFonts w:hint="default"/>
          <w:lang w:val="en-US" w:eastAsia="zh-CN"/>
        </w:rPr>
      </w:pPr>
      <w:r>
        <w:rPr>
          <w:rFonts w:hint="eastAsia" w:cs="宋体" w:asciiTheme="minorEastAsia" w:hAnsiTheme="minorEastAsia"/>
          <w:sz w:val="24"/>
          <w:szCs w:val="24"/>
          <w:lang w:val="en-US" w:eastAsia="zh-CN"/>
        </w:rPr>
        <w:t xml:space="preserve">   电话：0578-8669167</w:t>
      </w:r>
    </w:p>
    <w:p>
      <w:pPr>
        <w:spacing w:line="400" w:lineRule="exact"/>
        <w:jc w:val="both"/>
        <w:rPr>
          <w:rFonts w:hint="default" w:cs="宋体" w:asciiTheme="minorEastAsia" w:hAnsiTheme="minorEastAsia"/>
          <w:sz w:val="24"/>
          <w:szCs w:val="24"/>
          <w:lang w:val="en-US" w:eastAsia="zh-CN"/>
        </w:rPr>
      </w:pPr>
      <w:r>
        <w:rPr>
          <w:rFonts w:hint="eastAsia" w:cs="宋体" w:asciiTheme="minorEastAsia" w:hAnsiTheme="minorEastAsia"/>
          <w:sz w:val="24"/>
          <w:szCs w:val="24"/>
          <w:lang w:val="en-US" w:eastAsia="zh-CN"/>
        </w:rPr>
        <w:t xml:space="preserve">   传真：0578-8669167</w:t>
      </w:r>
    </w:p>
    <w:p>
      <w:pPr>
        <w:rPr>
          <w:rFonts w:ascii="宋体" w:hAnsi="宋体" w:cs="宋体"/>
          <w:color w:val="000000" w:themeColor="text1"/>
          <w:sz w:val="24"/>
          <w:szCs w:val="24"/>
        </w:rPr>
      </w:pPr>
      <w:r>
        <w:rPr>
          <w:rFonts w:hint="eastAsia" w:cs="宋体" w:asciiTheme="minorEastAsia" w:hAnsiTheme="minorEastAsia"/>
          <w:sz w:val="24"/>
          <w:szCs w:val="24"/>
          <w:lang w:val="en-US" w:eastAsia="zh-CN"/>
        </w:rPr>
        <w:t xml:space="preserve">   邮编：323400</w:t>
      </w:r>
    </w:p>
    <w:p>
      <w:pPr>
        <w:pStyle w:val="3"/>
        <w:spacing w:before="143" w:line="360" w:lineRule="auto"/>
        <w:rPr>
          <w:rFonts w:hint="eastAsia" w:ascii="宋体" w:hAnsi="宋体" w:eastAsia="宋体" w:cs="宋体"/>
          <w:sz w:val="24"/>
          <w:szCs w:val="24"/>
          <w:highlight w:val="yellow"/>
          <w:lang w:val="en-US"/>
        </w:rPr>
      </w:pPr>
    </w:p>
    <w:p>
      <w:pPr>
        <w:pStyle w:val="3"/>
        <w:spacing w:before="143" w:line="360" w:lineRule="auto"/>
        <w:rPr>
          <w:rFonts w:hint="eastAsia" w:ascii="宋体" w:hAnsi="宋体" w:eastAsia="宋体" w:cs="宋体"/>
          <w:sz w:val="24"/>
          <w:szCs w:val="24"/>
          <w:highlight w:val="none"/>
        </w:rPr>
      </w:pPr>
    </w:p>
    <w:p>
      <w:pPr>
        <w:pStyle w:val="3"/>
        <w:spacing w:before="143" w:line="360" w:lineRule="auto"/>
        <w:rPr>
          <w:rFonts w:hint="eastAsia" w:ascii="宋体" w:hAnsi="宋体" w:eastAsia="宋体" w:cs="宋体"/>
          <w:sz w:val="24"/>
          <w:szCs w:val="24"/>
          <w:highlight w:val="none"/>
        </w:rPr>
      </w:pPr>
    </w:p>
    <w:p>
      <w:pPr>
        <w:pStyle w:val="3"/>
        <w:spacing w:before="143" w:line="360" w:lineRule="auto"/>
        <w:ind w:left="0" w:leftChars="0" w:firstLine="0" w:firstLineChars="0"/>
        <w:rPr>
          <w:rFonts w:hint="eastAsia" w:ascii="宋体" w:hAnsi="宋体" w:eastAsia="宋体" w:cs="宋体"/>
          <w:sz w:val="24"/>
          <w:szCs w:val="24"/>
          <w:highlight w:val="none"/>
        </w:rPr>
      </w:pPr>
      <w:r>
        <w:rPr>
          <w:rFonts w:hint="eastAsia" w:ascii="宋体" w:hAnsi="宋体" w:eastAsia="宋体" w:cs="宋体"/>
          <w:b/>
          <w:bCs/>
          <w:sz w:val="24"/>
          <w:szCs w:val="24"/>
          <w:highlight w:val="none"/>
        </w:rPr>
        <w:t>一、责任聚焦</w:t>
      </w:r>
      <w:bookmarkEnd w:id="2"/>
    </w:p>
    <w:p>
      <w:pPr>
        <w:pStyle w:val="4"/>
        <w:spacing w:line="360" w:lineRule="auto"/>
        <w:ind w:right="240" w:firstLine="480"/>
        <w:rPr>
          <w:rFonts w:hint="eastAsia" w:ascii="宋体" w:hAnsi="宋体" w:eastAsia="宋体" w:cs="宋体"/>
          <w:sz w:val="24"/>
          <w:szCs w:val="24"/>
          <w:highlight w:val="none"/>
        </w:rPr>
      </w:pPr>
      <w:r>
        <w:rPr>
          <w:rFonts w:hint="eastAsia" w:ascii="宋体" w:hAnsi="宋体" w:eastAsia="宋体" w:cs="宋体"/>
          <w:spacing w:val="-1"/>
          <w:sz w:val="24"/>
          <w:szCs w:val="24"/>
          <w:highlight w:val="none"/>
        </w:rPr>
        <w:t>一个企业最大的社会责任，就是要让公司健康发展，为社会创造更多价值。</w:t>
      </w:r>
      <w:r>
        <w:rPr>
          <w:rFonts w:hint="eastAsia" w:ascii="宋体" w:hAnsi="宋体" w:eastAsia="宋体" w:cs="宋体"/>
          <w:spacing w:val="-6"/>
          <w:sz w:val="24"/>
          <w:szCs w:val="24"/>
          <w:highlight w:val="none"/>
        </w:rPr>
        <w:t>一家成功的公司会解决就业、缴税、员工福利、环境保护等问题，同时为政府纳税，政府税收又会通过多种方式完成相应的社会责任。</w:t>
      </w:r>
    </w:p>
    <w:p>
      <w:pPr>
        <w:pStyle w:val="15"/>
        <w:numPr>
          <w:ilvl w:val="1"/>
          <w:numId w:val="2"/>
        </w:numPr>
        <w:tabs>
          <w:tab w:val="left" w:pos="600"/>
        </w:tabs>
        <w:spacing w:before="3"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社会责任观</w:t>
      </w:r>
    </w:p>
    <w:p>
      <w:pPr>
        <w:pStyle w:val="15"/>
        <w:numPr>
          <w:ilvl w:val="0"/>
          <w:numId w:val="0"/>
        </w:numPr>
        <w:tabs>
          <w:tab w:val="left" w:pos="600"/>
        </w:tabs>
        <w:spacing w:before="3" w:line="360" w:lineRule="auto"/>
        <w:ind w:left="120" w:leftChars="0" w:firstLine="444" w:firstLineChars="200"/>
        <w:rPr>
          <w:rFonts w:hint="eastAsia" w:ascii="宋体" w:hAnsi="宋体" w:eastAsia="宋体" w:cs="宋体"/>
          <w:sz w:val="24"/>
          <w:szCs w:val="24"/>
          <w:highlight w:val="none"/>
        </w:rPr>
      </w:pPr>
      <w:r>
        <w:rPr>
          <w:rFonts w:hint="eastAsia" w:ascii="宋体" w:hAnsi="宋体" w:eastAsia="宋体" w:cs="宋体"/>
          <w:spacing w:val="-9"/>
          <w:sz w:val="24"/>
          <w:szCs w:val="24"/>
          <w:highlight w:val="none"/>
        </w:rPr>
        <w:t>随着全球化经济的不断发展，可持续发展的理念已经成为许多国际型企业发展战略的核心。支持社会公益事业，倡导社会环境的可持续发展，做负社会责任</w:t>
      </w:r>
      <w:r>
        <w:rPr>
          <w:rFonts w:hint="eastAsia" w:ascii="宋体" w:hAnsi="宋体" w:eastAsia="宋体" w:cs="宋体"/>
          <w:spacing w:val="-10"/>
          <w:sz w:val="24"/>
          <w:szCs w:val="24"/>
          <w:highlight w:val="none"/>
        </w:rPr>
        <w:t>的企业公民，已成为企业公共关系的重要主题。在企业发展的过程中，我们逐渐认识到，公共关系策略不再是简单地运用产品进行促销，基于传统营销传播观念</w:t>
      </w:r>
      <w:r>
        <w:rPr>
          <w:rFonts w:hint="eastAsia" w:ascii="宋体" w:hAnsi="宋体" w:eastAsia="宋体" w:cs="宋体"/>
          <w:spacing w:val="-5"/>
          <w:sz w:val="24"/>
          <w:szCs w:val="24"/>
          <w:highlight w:val="none"/>
        </w:rPr>
        <w:t>的公共关系已经远远不能适应时代潮流以及公众对环保的需要，取而代之的应该</w:t>
      </w:r>
      <w:r>
        <w:rPr>
          <w:rFonts w:hint="eastAsia" w:ascii="宋体" w:hAnsi="宋体" w:eastAsia="宋体" w:cs="宋体"/>
          <w:spacing w:val="-7"/>
          <w:sz w:val="24"/>
          <w:szCs w:val="24"/>
          <w:highlight w:val="none"/>
        </w:rPr>
        <w:t>是企业对社会责任的承诺与行动，它们不但应该融入企业的发展战略，而且应成</w:t>
      </w:r>
      <w:r>
        <w:rPr>
          <w:rFonts w:hint="eastAsia" w:ascii="宋体" w:hAnsi="宋体" w:eastAsia="宋体" w:cs="宋体"/>
          <w:spacing w:val="-6"/>
          <w:sz w:val="24"/>
          <w:szCs w:val="24"/>
          <w:highlight w:val="none"/>
        </w:rPr>
        <w:t>为公共关系传播的出发点和着眼点。于是我们始终把“</w:t>
      </w:r>
      <w:r>
        <w:rPr>
          <w:rFonts w:hint="eastAsia" w:cs="宋体"/>
          <w:spacing w:val="-6"/>
          <w:sz w:val="24"/>
          <w:szCs w:val="24"/>
          <w:highlight w:val="none"/>
          <w:lang w:eastAsia="zh-CN"/>
        </w:rPr>
        <w:t>一站式数字化管理，可持续高质量发展</w:t>
      </w:r>
      <w:r>
        <w:rPr>
          <w:rFonts w:hint="eastAsia" w:ascii="宋体" w:hAnsi="宋体" w:eastAsia="宋体" w:cs="宋体"/>
          <w:spacing w:val="-6"/>
          <w:sz w:val="24"/>
          <w:szCs w:val="24"/>
          <w:highlight w:val="none"/>
        </w:rPr>
        <w:t>”视为企</w:t>
      </w:r>
      <w:r>
        <w:rPr>
          <w:rFonts w:hint="eastAsia" w:ascii="宋体" w:hAnsi="宋体" w:eastAsia="宋体" w:cs="宋体"/>
          <w:sz w:val="24"/>
          <w:szCs w:val="24"/>
          <w:highlight w:val="none"/>
        </w:rPr>
        <w:t>业经营的长远战略，视为企业发展战略的精髓，视为企业文化的核心基石。</w:t>
      </w:r>
    </w:p>
    <w:p>
      <w:pPr>
        <w:pStyle w:val="4"/>
        <w:spacing w:before="7" w:line="360" w:lineRule="auto"/>
        <w:ind w:left="119" w:right="238" w:firstLine="480"/>
        <w:rPr>
          <w:rFonts w:hint="eastAsia" w:ascii="宋体" w:hAnsi="宋体" w:eastAsia="宋体" w:cs="宋体"/>
          <w:sz w:val="24"/>
          <w:szCs w:val="24"/>
          <w:highlight w:val="none"/>
        </w:rPr>
      </w:pPr>
      <w:r>
        <w:rPr>
          <w:rFonts w:hint="eastAsia" w:ascii="宋体" w:hAnsi="宋体" w:eastAsia="宋体" w:cs="宋体"/>
          <w:spacing w:val="-7"/>
          <w:sz w:val="24"/>
          <w:szCs w:val="24"/>
          <w:highlight w:val="none"/>
        </w:rPr>
        <w:t>企业社会责任不是口号，我们创立之初就确定我们是一个价值观公司，没有</w:t>
      </w:r>
      <w:r>
        <w:rPr>
          <w:rFonts w:hint="eastAsia" w:ascii="宋体" w:hAnsi="宋体" w:eastAsia="宋体" w:cs="宋体"/>
          <w:spacing w:val="-12"/>
          <w:sz w:val="24"/>
          <w:szCs w:val="24"/>
          <w:highlight w:val="none"/>
        </w:rPr>
        <w:t>历史，社会责任是无根的；没有对未来的承诺，社会责任是短命的。多年来，公</w:t>
      </w:r>
      <w:r>
        <w:rPr>
          <w:rFonts w:hint="eastAsia" w:ascii="宋体" w:hAnsi="宋体" w:eastAsia="宋体" w:cs="宋体"/>
          <w:spacing w:val="-1"/>
          <w:sz w:val="24"/>
          <w:szCs w:val="24"/>
          <w:highlight w:val="none"/>
        </w:rPr>
        <w:t>司坚持以“</w:t>
      </w:r>
      <w:r>
        <w:rPr>
          <w:rFonts w:hint="eastAsia" w:cs="宋体"/>
          <w:color w:val="000000"/>
          <w:sz w:val="24"/>
          <w:szCs w:val="24"/>
          <w:highlight w:val="none"/>
          <w:lang w:eastAsia="zh-CN"/>
        </w:rPr>
        <w:t>成为最具有竞争力的大口径不锈钢钢管企业</w:t>
      </w:r>
      <w:r>
        <w:rPr>
          <w:rFonts w:hint="eastAsia" w:ascii="宋体" w:hAnsi="宋体" w:eastAsia="宋体" w:cs="宋体"/>
          <w:spacing w:val="-1"/>
          <w:sz w:val="24"/>
          <w:szCs w:val="24"/>
          <w:highlight w:val="none"/>
        </w:rPr>
        <w:t>”作为企业使命，以“</w:t>
      </w:r>
      <w:r>
        <w:rPr>
          <w:rFonts w:hint="eastAsia" w:cs="宋体"/>
          <w:color w:val="000000"/>
          <w:sz w:val="24"/>
          <w:szCs w:val="24"/>
          <w:highlight w:val="none"/>
          <w:lang w:eastAsia="zh-CN"/>
        </w:rPr>
        <w:t>为客户提供优良的产品和服务</w:t>
      </w:r>
      <w:r>
        <w:rPr>
          <w:rFonts w:hint="eastAsia" w:ascii="宋体" w:hAnsi="宋体" w:eastAsia="宋体" w:cs="宋体"/>
          <w:spacing w:val="-11"/>
          <w:sz w:val="24"/>
          <w:szCs w:val="24"/>
          <w:highlight w:val="none"/>
        </w:rPr>
        <w:t>”作为公司</w:t>
      </w:r>
      <w:r>
        <w:rPr>
          <w:rFonts w:hint="eastAsia" w:ascii="宋体" w:hAnsi="宋体" w:eastAsia="宋体" w:cs="宋体"/>
          <w:spacing w:val="-11"/>
          <w:sz w:val="24"/>
          <w:szCs w:val="24"/>
          <w:highlight w:val="none"/>
          <w:lang w:val="en-US"/>
        </w:rPr>
        <w:t>愿景</w:t>
      </w:r>
      <w:r>
        <w:rPr>
          <w:rFonts w:hint="eastAsia" w:ascii="宋体" w:hAnsi="宋体" w:eastAsia="宋体" w:cs="宋体"/>
          <w:spacing w:val="-11"/>
          <w:sz w:val="24"/>
          <w:szCs w:val="24"/>
          <w:highlight w:val="none"/>
        </w:rPr>
        <w:t>，以“</w:t>
      </w:r>
      <w:r>
        <w:rPr>
          <w:rFonts w:hint="eastAsia" w:cs="宋体"/>
          <w:spacing w:val="-11"/>
          <w:sz w:val="24"/>
          <w:szCs w:val="24"/>
          <w:highlight w:val="none"/>
          <w:lang w:eastAsia="zh-CN"/>
        </w:rPr>
        <w:t>诚信、求实、开拓、创新</w:t>
      </w:r>
      <w:r>
        <w:rPr>
          <w:rFonts w:hint="eastAsia" w:ascii="宋体" w:hAnsi="宋体" w:eastAsia="宋体" w:cs="宋体"/>
          <w:spacing w:val="-11"/>
          <w:sz w:val="24"/>
          <w:szCs w:val="24"/>
          <w:highlight w:val="none"/>
        </w:rPr>
        <w:t>”为</w:t>
      </w:r>
      <w:r>
        <w:rPr>
          <w:rFonts w:hint="eastAsia" w:ascii="宋体" w:hAnsi="宋体" w:eastAsia="宋体" w:cs="宋体"/>
          <w:spacing w:val="-11"/>
          <w:sz w:val="24"/>
          <w:szCs w:val="24"/>
          <w:highlight w:val="none"/>
          <w:lang w:val="en-US"/>
        </w:rPr>
        <w:t>公司核心价值观</w:t>
      </w:r>
      <w:r>
        <w:rPr>
          <w:rFonts w:hint="eastAsia" w:ascii="宋体" w:hAnsi="宋体" w:eastAsia="宋体" w:cs="宋体"/>
          <w:spacing w:val="-11"/>
          <w:sz w:val="24"/>
          <w:szCs w:val="24"/>
          <w:highlight w:val="none"/>
        </w:rPr>
        <w:t>，在履行企业社会责任中做了大量工作。</w:t>
      </w:r>
    </w:p>
    <w:p>
      <w:pPr>
        <w:pStyle w:val="15"/>
        <w:numPr>
          <w:ilvl w:val="1"/>
          <w:numId w:val="2"/>
        </w:numPr>
        <w:tabs>
          <w:tab w:val="left" w:pos="600"/>
        </w:tabs>
        <w:spacing w:line="360" w:lineRule="auto"/>
        <w:ind w:hanging="481"/>
        <w:rPr>
          <w:rFonts w:hint="eastAsia" w:ascii="宋体" w:hAnsi="宋体" w:eastAsia="宋体" w:cs="宋体"/>
          <w:sz w:val="24"/>
          <w:szCs w:val="24"/>
          <w:highlight w:val="none"/>
        </w:rPr>
      </w:pPr>
      <w:r>
        <w:rPr>
          <w:rFonts w:hint="eastAsia" w:ascii="宋体" w:hAnsi="宋体" w:eastAsia="宋体" w:cs="宋体"/>
          <w:sz w:val="24"/>
          <w:szCs w:val="24"/>
          <w:highlight w:val="none"/>
        </w:rPr>
        <w:t>利益相关方</w:t>
      </w:r>
    </w:p>
    <w:tbl>
      <w:tblPr>
        <w:tblStyle w:val="11"/>
        <w:tblpPr w:leftFromText="180" w:rightFromText="180" w:vertAnchor="text" w:horzAnchor="page" w:tblpX="1654" w:tblpY="1516"/>
        <w:tblOverlap w:val="never"/>
        <w:tblW w:w="837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80"/>
        <w:gridCol w:w="63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3" w:hRule="atLeast"/>
        </w:trPr>
        <w:tc>
          <w:tcPr>
            <w:tcW w:w="1980" w:type="dxa"/>
          </w:tcPr>
          <w:p>
            <w:pPr>
              <w:pStyle w:val="16"/>
              <w:spacing w:line="240" w:lineRule="auto"/>
              <w:ind w:left="134" w:right="321"/>
              <w:jc w:val="center"/>
              <w:rPr>
                <w:sz w:val="24"/>
                <w:szCs w:val="24"/>
              </w:rPr>
            </w:pPr>
            <w:r>
              <w:rPr>
                <w:sz w:val="24"/>
                <w:szCs w:val="24"/>
              </w:rPr>
              <w:t>利益相关方</w:t>
            </w:r>
          </w:p>
        </w:tc>
        <w:tc>
          <w:tcPr>
            <w:tcW w:w="6396" w:type="dxa"/>
          </w:tcPr>
          <w:p>
            <w:pPr>
              <w:pStyle w:val="16"/>
              <w:spacing w:line="240" w:lineRule="auto"/>
              <w:ind w:left="2701" w:right="2445"/>
              <w:jc w:val="center"/>
              <w:rPr>
                <w:sz w:val="24"/>
                <w:szCs w:val="24"/>
              </w:rPr>
            </w:pPr>
            <w:r>
              <w:rPr>
                <w:sz w:val="24"/>
                <w:szCs w:val="24"/>
              </w:rPr>
              <w:t>责任与举措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0" w:hRule="atLeast"/>
        </w:trPr>
        <w:tc>
          <w:tcPr>
            <w:tcW w:w="1980" w:type="dxa"/>
          </w:tcPr>
          <w:p>
            <w:pPr>
              <w:pStyle w:val="16"/>
              <w:spacing w:before="158" w:line="240" w:lineRule="auto"/>
              <w:ind w:left="134" w:right="355"/>
              <w:jc w:val="center"/>
              <w:rPr>
                <w:sz w:val="24"/>
                <w:szCs w:val="24"/>
              </w:rPr>
            </w:pPr>
            <w:r>
              <w:rPr>
                <w:sz w:val="24"/>
                <w:szCs w:val="24"/>
              </w:rPr>
              <w:t>股东与投资者</w:t>
            </w:r>
          </w:p>
        </w:tc>
        <w:tc>
          <w:tcPr>
            <w:tcW w:w="6396" w:type="dxa"/>
          </w:tcPr>
          <w:p>
            <w:pPr>
              <w:pStyle w:val="16"/>
              <w:spacing w:before="158" w:line="240" w:lineRule="auto"/>
              <w:ind w:right="32"/>
              <w:rPr>
                <w:sz w:val="24"/>
                <w:szCs w:val="24"/>
              </w:rPr>
            </w:pPr>
            <w:r>
              <w:rPr>
                <w:sz w:val="24"/>
                <w:szCs w:val="24"/>
              </w:rPr>
              <w:t>准确及时披露经营状况和重大事项信息，提供合理投资回报遵循责任经营和责任投资的基本原则</w:t>
            </w:r>
          </w:p>
        </w:tc>
      </w:tr>
    </w:tbl>
    <w:p>
      <w:pPr>
        <w:pStyle w:val="15"/>
        <w:numPr>
          <w:ilvl w:val="0"/>
          <w:numId w:val="0"/>
        </w:numPr>
        <w:tabs>
          <w:tab w:val="left" w:pos="600"/>
        </w:tabs>
        <w:spacing w:line="360" w:lineRule="auto"/>
        <w:ind w:left="119" w:leftChars="0"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pict>
          <v:shape id="_x0000_s1026" o:spid="_x0000_s1026" o:spt="202" type="#_x0000_t202" style="position:absolute;left:0pt;margin-left:89.15pt;margin-top:76pt;height:109.7pt;width:419.55pt;mso-position-horizontal-relative:page;z-index:251659264;mso-width-relative:page;mso-height-relative:page;" filled="f" stroked="f" coordsize="21600,21600">
            <v:path/>
            <v:fill on="f" focussize="0,0"/>
            <v:stroke on="f" joinstyle="miter"/>
            <v:imagedata o:title=""/>
            <o:lock v:ext="edit"/>
            <v:textbox inset="0mm,0mm,0mm,0mm">
              <w:txbxContent>
                <w:p>
                  <w:pPr>
                    <w:pStyle w:val="4"/>
                    <w:ind w:left="0"/>
                  </w:pPr>
                </w:p>
              </w:txbxContent>
            </v:textbox>
          </v:shape>
        </w:pict>
      </w:r>
      <w:r>
        <w:rPr>
          <w:rFonts w:hint="eastAsia" w:ascii="宋体" w:hAnsi="宋体" w:eastAsia="宋体" w:cs="宋体"/>
          <w:sz w:val="24"/>
          <w:szCs w:val="24"/>
          <w:highlight w:val="none"/>
        </w:rPr>
        <w:t>企业所有的利益相关者的利益都是通过企业共同愿景的实现来达成的。没有共同的愿景，缺乏共同的信念，就没有利益相关的前提。所以,认同共同的企业愿景和价值观，是建设和完善企业与利益方关系管理体系的前提和基础。</w:t>
      </w:r>
    </w:p>
    <w:p>
      <w:pPr>
        <w:spacing w:line="360" w:lineRule="auto"/>
        <w:jc w:val="both"/>
        <w:rPr>
          <w:rFonts w:hint="eastAsia" w:ascii="宋体" w:hAnsi="宋体" w:eastAsia="宋体" w:cs="宋体"/>
          <w:sz w:val="24"/>
          <w:szCs w:val="24"/>
          <w:highlight w:val="none"/>
        </w:rPr>
        <w:sectPr>
          <w:pgSz w:w="11910" w:h="16840"/>
          <w:pgMar w:top="1420" w:right="1440" w:bottom="1380" w:left="1680" w:header="877" w:footer="1197" w:gutter="0"/>
          <w:cols w:space="720" w:num="1"/>
        </w:sectPr>
      </w:pPr>
    </w:p>
    <w:tbl>
      <w:tblPr>
        <w:tblStyle w:val="11"/>
        <w:tblW w:w="8376" w:type="dxa"/>
        <w:tblInd w:w="1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80"/>
        <w:gridCol w:w="63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1980" w:type="dxa"/>
          </w:tcPr>
          <w:p>
            <w:pPr>
              <w:pStyle w:val="16"/>
              <w:spacing w:line="360" w:lineRule="auto"/>
              <w:ind w:left="434"/>
              <w:rPr>
                <w:rFonts w:hint="eastAsia" w:ascii="宋体" w:hAnsi="宋体" w:eastAsia="宋体" w:cs="宋体"/>
                <w:sz w:val="24"/>
                <w:szCs w:val="24"/>
                <w:highlight w:val="none"/>
              </w:rPr>
            </w:pPr>
            <w:r>
              <w:rPr>
                <w:rFonts w:hint="eastAsia" w:ascii="宋体" w:hAnsi="宋体" w:eastAsia="宋体" w:cs="宋体"/>
                <w:sz w:val="24"/>
                <w:szCs w:val="24"/>
                <w:highlight w:val="none"/>
              </w:rPr>
              <w:t>客 户</w:t>
            </w:r>
          </w:p>
        </w:tc>
        <w:tc>
          <w:tcPr>
            <w:tcW w:w="6396" w:type="dxa"/>
          </w:tcPr>
          <w:p>
            <w:pPr>
              <w:pStyle w:val="16"/>
              <w:spacing w:line="360" w:lineRule="auto"/>
              <w:ind w:right="31"/>
              <w:rPr>
                <w:rFonts w:hint="eastAsia" w:ascii="宋体" w:hAnsi="宋体" w:eastAsia="宋体" w:cs="宋体"/>
                <w:sz w:val="24"/>
                <w:szCs w:val="24"/>
                <w:highlight w:val="none"/>
              </w:rPr>
            </w:pPr>
            <w:r>
              <w:rPr>
                <w:rFonts w:hint="eastAsia" w:ascii="宋体" w:hAnsi="宋体" w:eastAsia="宋体" w:cs="宋体"/>
                <w:sz w:val="24"/>
                <w:szCs w:val="24"/>
                <w:highlight w:val="none"/>
              </w:rPr>
              <w:t>提供优质的产品和服务；产品具有安全性和便利性；持续提升客户满意度；及时合规的信息沟通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1980" w:type="dxa"/>
          </w:tcPr>
          <w:p>
            <w:pPr>
              <w:pStyle w:val="16"/>
              <w:spacing w:before="155" w:line="360" w:lineRule="auto"/>
              <w:ind w:left="434"/>
              <w:rPr>
                <w:rFonts w:hint="eastAsia" w:ascii="宋体" w:hAnsi="宋体" w:eastAsia="宋体" w:cs="宋体"/>
                <w:sz w:val="24"/>
                <w:szCs w:val="24"/>
                <w:highlight w:val="none"/>
              </w:rPr>
            </w:pPr>
            <w:r>
              <w:rPr>
                <w:rFonts w:hint="eastAsia" w:ascii="宋体" w:hAnsi="宋体" w:eastAsia="宋体" w:cs="宋体"/>
                <w:sz w:val="24"/>
                <w:szCs w:val="24"/>
                <w:highlight w:val="none"/>
              </w:rPr>
              <w:t>员 工</w:t>
            </w:r>
          </w:p>
        </w:tc>
        <w:tc>
          <w:tcPr>
            <w:tcW w:w="6396" w:type="dxa"/>
          </w:tcPr>
          <w:p>
            <w:pPr>
              <w:pStyle w:val="16"/>
              <w:spacing w:before="155" w:line="360" w:lineRule="auto"/>
              <w:ind w:right="34"/>
              <w:rPr>
                <w:rFonts w:hint="eastAsia" w:ascii="宋体" w:hAnsi="宋体" w:eastAsia="宋体" w:cs="宋体"/>
                <w:sz w:val="24"/>
                <w:szCs w:val="24"/>
                <w:highlight w:val="none"/>
              </w:rPr>
            </w:pPr>
            <w:r>
              <w:rPr>
                <w:rFonts w:hint="eastAsia" w:ascii="宋体" w:hAnsi="宋体" w:eastAsia="宋体" w:cs="宋体"/>
                <w:sz w:val="24"/>
                <w:szCs w:val="24"/>
                <w:highlight w:val="none"/>
              </w:rPr>
              <w:t>维护员工合法权益；创造良好的工作环境；给予合理的待遇提供教育和培训，为员工创造发展空间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1980" w:type="dxa"/>
          </w:tcPr>
          <w:p>
            <w:pPr>
              <w:pStyle w:val="16"/>
              <w:spacing w:before="155" w:line="360" w:lineRule="auto"/>
              <w:ind w:left="434"/>
              <w:rPr>
                <w:rFonts w:hint="eastAsia" w:ascii="宋体" w:hAnsi="宋体" w:eastAsia="宋体" w:cs="宋体"/>
                <w:sz w:val="24"/>
                <w:szCs w:val="24"/>
                <w:highlight w:val="none"/>
              </w:rPr>
            </w:pPr>
            <w:r>
              <w:rPr>
                <w:rFonts w:hint="eastAsia" w:ascii="宋体" w:hAnsi="宋体" w:eastAsia="宋体" w:cs="宋体"/>
                <w:sz w:val="24"/>
                <w:szCs w:val="24"/>
                <w:highlight w:val="none"/>
              </w:rPr>
              <w:t>合作伙伴</w:t>
            </w:r>
          </w:p>
        </w:tc>
        <w:tc>
          <w:tcPr>
            <w:tcW w:w="6396" w:type="dxa"/>
          </w:tcPr>
          <w:p>
            <w:pPr>
              <w:pStyle w:val="16"/>
              <w:spacing w:before="155" w:line="360" w:lineRule="auto"/>
              <w:ind w:right="31"/>
              <w:rPr>
                <w:rFonts w:hint="eastAsia" w:ascii="宋体" w:hAnsi="宋体" w:eastAsia="宋体" w:cs="宋体"/>
                <w:sz w:val="24"/>
                <w:szCs w:val="24"/>
                <w:highlight w:val="none"/>
              </w:rPr>
            </w:pPr>
            <w:r>
              <w:rPr>
                <w:rFonts w:hint="eastAsia" w:ascii="宋体" w:hAnsi="宋体" w:eastAsia="宋体" w:cs="宋体"/>
                <w:sz w:val="24"/>
                <w:szCs w:val="24"/>
                <w:highlight w:val="none"/>
              </w:rPr>
              <w:t>实行公平采购；协助履行社会责任；建立相互尊重的合作关系；坚持诚实守信，维护企业的信誉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1980" w:type="dxa"/>
          </w:tcPr>
          <w:p>
            <w:pPr>
              <w:pStyle w:val="16"/>
              <w:spacing w:before="158" w:line="360" w:lineRule="auto"/>
              <w:ind w:left="434"/>
              <w:rPr>
                <w:rFonts w:hint="eastAsia" w:ascii="宋体" w:hAnsi="宋体" w:eastAsia="宋体" w:cs="宋体"/>
                <w:sz w:val="24"/>
                <w:szCs w:val="24"/>
                <w:highlight w:val="none"/>
              </w:rPr>
            </w:pPr>
            <w:r>
              <w:rPr>
                <w:rFonts w:hint="eastAsia" w:ascii="宋体" w:hAnsi="宋体" w:eastAsia="宋体" w:cs="宋体"/>
                <w:sz w:val="24"/>
                <w:szCs w:val="24"/>
                <w:highlight w:val="none"/>
              </w:rPr>
              <w:t>政 府</w:t>
            </w:r>
          </w:p>
        </w:tc>
        <w:tc>
          <w:tcPr>
            <w:tcW w:w="6396" w:type="dxa"/>
          </w:tcPr>
          <w:p>
            <w:pPr>
              <w:pStyle w:val="16"/>
              <w:spacing w:before="158"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依法纳税，提供就业机会，带动地方经济发展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0" w:hRule="atLeast"/>
        </w:trPr>
        <w:tc>
          <w:tcPr>
            <w:tcW w:w="1980" w:type="dxa"/>
          </w:tcPr>
          <w:p>
            <w:pPr>
              <w:pStyle w:val="16"/>
              <w:spacing w:line="360" w:lineRule="auto"/>
              <w:ind w:left="434"/>
              <w:rPr>
                <w:rFonts w:hint="eastAsia" w:ascii="宋体" w:hAnsi="宋体" w:eastAsia="宋体" w:cs="宋体"/>
                <w:sz w:val="24"/>
                <w:szCs w:val="24"/>
                <w:highlight w:val="none"/>
              </w:rPr>
            </w:pPr>
            <w:r>
              <w:rPr>
                <w:rFonts w:hint="eastAsia" w:ascii="宋体" w:hAnsi="宋体" w:eastAsia="宋体" w:cs="宋体"/>
                <w:sz w:val="24"/>
                <w:szCs w:val="24"/>
                <w:highlight w:val="none"/>
              </w:rPr>
              <w:t>自然环境</w:t>
            </w:r>
          </w:p>
        </w:tc>
        <w:tc>
          <w:tcPr>
            <w:tcW w:w="6396" w:type="dxa"/>
          </w:tcPr>
          <w:p>
            <w:pPr>
              <w:pStyle w:val="16"/>
              <w:spacing w:line="360" w:lineRule="auto"/>
              <w:ind w:right="31"/>
              <w:rPr>
                <w:rFonts w:hint="eastAsia" w:ascii="宋体" w:hAnsi="宋体" w:eastAsia="宋体" w:cs="宋体"/>
                <w:sz w:val="24"/>
                <w:szCs w:val="24"/>
                <w:highlight w:val="none"/>
              </w:rPr>
            </w:pPr>
            <w:r>
              <w:rPr>
                <w:rFonts w:hint="eastAsia" w:ascii="宋体" w:hAnsi="宋体" w:eastAsia="宋体" w:cs="宋体"/>
                <w:sz w:val="24"/>
                <w:szCs w:val="24"/>
                <w:highlight w:val="none"/>
              </w:rPr>
              <w:t>推行绿色生产，实践环保经营，倡导节能减排，开展水资源保护，改善自然生态系统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3" w:hRule="atLeast"/>
        </w:trPr>
        <w:tc>
          <w:tcPr>
            <w:tcW w:w="1980" w:type="dxa"/>
          </w:tcPr>
          <w:p>
            <w:pPr>
              <w:pStyle w:val="16"/>
              <w:spacing w:line="360" w:lineRule="auto"/>
              <w:ind w:left="434"/>
              <w:rPr>
                <w:rFonts w:hint="eastAsia" w:ascii="宋体" w:hAnsi="宋体" w:eastAsia="宋体" w:cs="宋体"/>
                <w:sz w:val="24"/>
                <w:szCs w:val="24"/>
                <w:highlight w:val="none"/>
              </w:rPr>
            </w:pPr>
            <w:r>
              <w:rPr>
                <w:rFonts w:hint="eastAsia" w:ascii="宋体" w:hAnsi="宋体" w:eastAsia="宋体" w:cs="宋体"/>
                <w:sz w:val="24"/>
                <w:szCs w:val="24"/>
                <w:highlight w:val="none"/>
              </w:rPr>
              <w:t>社区居民</w:t>
            </w:r>
          </w:p>
        </w:tc>
        <w:tc>
          <w:tcPr>
            <w:tcW w:w="6396" w:type="dxa"/>
          </w:tcPr>
          <w:p>
            <w:pPr>
              <w:pStyle w:val="16"/>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参与社会公益活动，为社会可持续、和谐发展做贡献</w:t>
            </w:r>
          </w:p>
        </w:tc>
      </w:tr>
    </w:tbl>
    <w:p>
      <w:pPr>
        <w:pStyle w:val="4"/>
        <w:spacing w:before="10" w:line="360" w:lineRule="auto"/>
        <w:ind w:left="0"/>
        <w:rPr>
          <w:rFonts w:hint="eastAsia" w:ascii="宋体" w:hAnsi="宋体" w:eastAsia="宋体" w:cs="宋体"/>
          <w:sz w:val="24"/>
          <w:szCs w:val="24"/>
          <w:highlight w:val="none"/>
        </w:rPr>
      </w:pPr>
    </w:p>
    <w:p>
      <w:pPr>
        <w:pStyle w:val="15"/>
        <w:numPr>
          <w:ilvl w:val="1"/>
          <w:numId w:val="2"/>
        </w:numPr>
        <w:tabs>
          <w:tab w:val="left" w:pos="600"/>
        </w:tabs>
        <w:spacing w:before="66"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责任体系</w:t>
      </w:r>
    </w:p>
    <w:p>
      <w:pPr>
        <w:pStyle w:val="15"/>
        <w:numPr>
          <w:ilvl w:val="0"/>
          <w:numId w:val="0"/>
        </w:numPr>
        <w:tabs>
          <w:tab w:val="left" w:pos="600"/>
        </w:tabs>
        <w:spacing w:before="66" w:line="360" w:lineRule="auto"/>
        <w:ind w:left="120" w:leftChars="0" w:firstLine="456" w:firstLineChars="200"/>
        <w:rPr>
          <w:rFonts w:hint="eastAsia" w:ascii="宋体" w:hAnsi="宋体" w:eastAsia="宋体" w:cs="宋体"/>
          <w:sz w:val="24"/>
          <w:szCs w:val="24"/>
          <w:highlight w:val="none"/>
        </w:rPr>
      </w:pPr>
      <w:r>
        <w:rPr>
          <w:rFonts w:hint="eastAsia" w:ascii="宋体" w:hAnsi="宋体" w:eastAsia="宋体" w:cs="宋体"/>
          <w:spacing w:val="-6"/>
          <w:sz w:val="24"/>
          <w:szCs w:val="24"/>
          <w:highlight w:val="none"/>
        </w:rPr>
        <w:t>对利益相关者的法律责任，这一责任主要包括企业根据《中华人民共和国公</w:t>
      </w:r>
      <w:r>
        <w:rPr>
          <w:rFonts w:hint="eastAsia" w:ascii="宋体" w:hAnsi="宋体" w:eastAsia="宋体" w:cs="宋体"/>
          <w:spacing w:val="-13"/>
          <w:sz w:val="24"/>
          <w:szCs w:val="24"/>
          <w:highlight w:val="none"/>
        </w:rPr>
        <w:t>司法》、 《中华人民共和国合同法》等法律法规，对出资人、债权人、供应商、</w:t>
      </w:r>
      <w:r>
        <w:rPr>
          <w:rFonts w:hint="eastAsia" w:ascii="宋体" w:hAnsi="宋体" w:eastAsia="宋体" w:cs="宋体"/>
          <w:spacing w:val="-9"/>
          <w:sz w:val="24"/>
          <w:szCs w:val="24"/>
          <w:highlight w:val="none"/>
        </w:rPr>
        <w:t>合作商、客户、社区及其它社会团体等所有利益相关者必须遵守各类合同，按照</w:t>
      </w:r>
      <w:r>
        <w:rPr>
          <w:rFonts w:hint="eastAsia" w:ascii="宋体" w:hAnsi="宋体" w:eastAsia="宋体" w:cs="宋体"/>
          <w:spacing w:val="-14"/>
          <w:sz w:val="24"/>
          <w:szCs w:val="24"/>
          <w:highlight w:val="none"/>
        </w:rPr>
        <w:t>法律规定进行利益分配，为社会提供最基本的产品和服务质量保证，不损害企业所在社区的合法权益，不影响其它社会团体的利益等内容。</w:t>
      </w:r>
    </w:p>
    <w:p>
      <w:pPr>
        <w:pStyle w:val="4"/>
        <w:spacing w:before="7" w:line="360" w:lineRule="auto"/>
        <w:ind w:right="119" w:firstLine="480"/>
        <w:rPr>
          <w:rFonts w:hint="eastAsia" w:ascii="宋体" w:hAnsi="宋体" w:eastAsia="宋体" w:cs="宋体"/>
          <w:sz w:val="24"/>
          <w:szCs w:val="24"/>
          <w:highlight w:val="none"/>
        </w:rPr>
      </w:pPr>
      <w:r>
        <w:rPr>
          <w:rFonts w:hint="eastAsia" w:ascii="宋体" w:hAnsi="宋体" w:eastAsia="宋体" w:cs="宋体"/>
          <w:spacing w:val="-8"/>
          <w:sz w:val="24"/>
          <w:szCs w:val="24"/>
          <w:highlight w:val="none"/>
        </w:rPr>
        <w:t>对环境的法律责任，这一责任主要包括企业根据《中华人民共和国环境保护</w:t>
      </w:r>
      <w:r>
        <w:rPr>
          <w:rFonts w:hint="eastAsia" w:ascii="宋体" w:hAnsi="宋体" w:eastAsia="宋体" w:cs="宋体"/>
          <w:spacing w:val="-10"/>
          <w:sz w:val="24"/>
          <w:szCs w:val="24"/>
          <w:highlight w:val="none"/>
        </w:rPr>
        <w:t xml:space="preserve">法》等法律法规，在生产经营活动中必须履行资源和能耗的节约标准，必须达到 </w:t>
      </w:r>
      <w:r>
        <w:rPr>
          <w:rFonts w:hint="eastAsia" w:ascii="宋体" w:hAnsi="宋体" w:eastAsia="宋体" w:cs="宋体"/>
          <w:spacing w:val="-16"/>
          <w:sz w:val="24"/>
          <w:szCs w:val="24"/>
          <w:highlight w:val="none"/>
        </w:rPr>
        <w:t xml:space="preserve">国家强制规定的污染排放标准，对不能达标的项目必须加强技术改造和污染治理， </w:t>
      </w:r>
      <w:r>
        <w:rPr>
          <w:rFonts w:hint="eastAsia" w:ascii="宋体" w:hAnsi="宋体" w:eastAsia="宋体" w:cs="宋体"/>
          <w:sz w:val="24"/>
          <w:szCs w:val="24"/>
          <w:highlight w:val="none"/>
        </w:rPr>
        <w:t>努力达到国家规定的各项环保标准等内容。</w:t>
      </w:r>
    </w:p>
    <w:p>
      <w:pPr>
        <w:pStyle w:val="4"/>
        <w:spacing w:before="2" w:line="360" w:lineRule="auto"/>
        <w:ind w:right="359" w:firstLine="480"/>
        <w:jc w:val="both"/>
        <w:rPr>
          <w:rFonts w:hint="eastAsia" w:ascii="宋体" w:hAnsi="宋体" w:eastAsia="宋体" w:cs="宋体"/>
          <w:sz w:val="24"/>
          <w:szCs w:val="24"/>
          <w:highlight w:val="none"/>
        </w:rPr>
      </w:pPr>
      <w:r>
        <w:rPr>
          <w:rFonts w:hint="eastAsia" w:ascii="宋体" w:hAnsi="宋体" w:eastAsia="宋体" w:cs="宋体"/>
          <w:spacing w:val="-9"/>
          <w:sz w:val="24"/>
          <w:szCs w:val="24"/>
          <w:highlight w:val="none"/>
        </w:rPr>
        <w:t>对员工的法律责任，这一责任主要包括企业根据《中华人民共和国劳动合同</w:t>
      </w:r>
      <w:r>
        <w:rPr>
          <w:rFonts w:hint="eastAsia" w:ascii="宋体" w:hAnsi="宋体" w:eastAsia="宋体" w:cs="宋体"/>
          <w:spacing w:val="-12"/>
          <w:sz w:val="24"/>
          <w:szCs w:val="24"/>
          <w:highlight w:val="none"/>
        </w:rPr>
        <w:t>法》等法律法规，必须为员工生产提供安全保障，必须按照国家政策保证员工的</w:t>
      </w:r>
      <w:r>
        <w:rPr>
          <w:rFonts w:hint="eastAsia" w:ascii="宋体" w:hAnsi="宋体" w:eastAsia="宋体" w:cs="宋体"/>
          <w:spacing w:val="-8"/>
          <w:sz w:val="24"/>
          <w:szCs w:val="24"/>
          <w:highlight w:val="none"/>
        </w:rPr>
        <w:t>各项福利待遇，必须为员工办理各种国家所规定的生育、失业、养老、疾病等基</w:t>
      </w:r>
      <w:r>
        <w:rPr>
          <w:rFonts w:hint="eastAsia" w:ascii="宋体" w:hAnsi="宋体" w:eastAsia="宋体" w:cs="宋体"/>
          <w:sz w:val="24"/>
          <w:szCs w:val="24"/>
          <w:highlight w:val="none"/>
        </w:rPr>
        <w:t>本社会保险等内容。</w:t>
      </w:r>
    </w:p>
    <w:p>
      <w:pPr>
        <w:spacing w:line="360" w:lineRule="auto"/>
        <w:jc w:val="both"/>
        <w:rPr>
          <w:rFonts w:hint="eastAsia" w:ascii="宋体" w:hAnsi="宋体" w:eastAsia="宋体" w:cs="宋体"/>
          <w:sz w:val="24"/>
          <w:szCs w:val="24"/>
          <w:highlight w:val="none"/>
        </w:rPr>
        <w:sectPr>
          <w:pgSz w:w="11910" w:h="16840"/>
          <w:pgMar w:top="1420" w:right="1440" w:bottom="1380" w:left="1680" w:header="877" w:footer="1197" w:gutter="0"/>
          <w:cols w:space="720" w:num="1"/>
        </w:sectPr>
      </w:pPr>
    </w:p>
    <w:p>
      <w:pPr>
        <w:pStyle w:val="4"/>
        <w:spacing w:before="166" w:line="360" w:lineRule="auto"/>
        <w:ind w:right="360" w:firstLine="480"/>
        <w:jc w:val="both"/>
        <w:rPr>
          <w:rFonts w:hint="eastAsia" w:ascii="宋体" w:hAnsi="宋体" w:eastAsia="宋体" w:cs="宋体"/>
          <w:sz w:val="24"/>
          <w:szCs w:val="24"/>
          <w:highlight w:val="none"/>
        </w:rPr>
      </w:pPr>
      <w:r>
        <w:rPr>
          <w:rFonts w:hint="eastAsia" w:ascii="宋体" w:hAnsi="宋体" w:eastAsia="宋体" w:cs="宋体"/>
          <w:spacing w:val="-9"/>
          <w:sz w:val="24"/>
          <w:szCs w:val="24"/>
          <w:highlight w:val="none"/>
        </w:rPr>
        <w:t>对社会的法律责任，这一责任主要包括企业根据《中华人民共和国企业所得</w:t>
      </w:r>
      <w:r>
        <w:rPr>
          <w:rFonts w:hint="eastAsia" w:ascii="宋体" w:hAnsi="宋体" w:eastAsia="宋体" w:cs="宋体"/>
          <w:spacing w:val="-21"/>
          <w:sz w:val="24"/>
          <w:szCs w:val="24"/>
          <w:highlight w:val="none"/>
        </w:rPr>
        <w:t>税法》、《中华人民共和国增值税暂行条例》等法律法规，必须完成所得税、增值</w:t>
      </w:r>
      <w:r>
        <w:rPr>
          <w:rFonts w:hint="eastAsia" w:ascii="宋体" w:hAnsi="宋体" w:eastAsia="宋体" w:cs="宋体"/>
          <w:sz w:val="24"/>
          <w:szCs w:val="24"/>
          <w:highlight w:val="none"/>
        </w:rPr>
        <w:t>税等各种利税上缴等责任。</w:t>
      </w:r>
    </w:p>
    <w:p>
      <w:pPr>
        <w:pStyle w:val="3"/>
        <w:numPr>
          <w:ilvl w:val="0"/>
          <w:numId w:val="3"/>
        </w:numPr>
        <w:spacing w:line="360" w:lineRule="auto"/>
        <w:rPr>
          <w:rFonts w:hint="eastAsia" w:ascii="宋体" w:hAnsi="宋体" w:eastAsia="宋体" w:cs="宋体"/>
          <w:b/>
          <w:bCs/>
          <w:sz w:val="24"/>
          <w:szCs w:val="24"/>
          <w:highlight w:val="none"/>
        </w:rPr>
      </w:pPr>
      <w:bookmarkStart w:id="3" w:name="二、战略与管理"/>
      <w:bookmarkEnd w:id="3"/>
      <w:bookmarkStart w:id="4" w:name="_Toc24531706"/>
      <w:r>
        <w:rPr>
          <w:rFonts w:hint="eastAsia" w:ascii="宋体" w:hAnsi="宋体" w:eastAsia="宋体" w:cs="宋体"/>
          <w:b/>
          <w:bCs/>
          <w:sz w:val="24"/>
          <w:szCs w:val="24"/>
          <w:highlight w:val="none"/>
        </w:rPr>
        <w:t>战略与管理</w:t>
      </w:r>
      <w:bookmarkEnd w:id="4"/>
    </w:p>
    <w:p>
      <w:pPr>
        <w:pStyle w:val="3"/>
        <w:numPr>
          <w:ilvl w:val="0"/>
          <w:numId w:val="0"/>
        </w:num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a）构建独具特色的企业文化并向相关方沟通宣贯</w:t>
      </w:r>
    </w:p>
    <w:p>
      <w:pPr>
        <w:pStyle w:val="4"/>
        <w:spacing w:before="166" w:line="360" w:lineRule="auto"/>
        <w:ind w:right="359" w:firstLine="480" w:firstLineChars="20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企业文化是企业的思维方式和行事准则，是企业个性化的体现。它是植根于企业内部的精神载体，可以促进组织的管理发展，增强企业凝聚力，是一个企业的旗帜、灵魂和方向。从</w:t>
      </w:r>
      <w:r>
        <w:rPr>
          <w:rFonts w:hint="eastAsia" w:cs="宋体"/>
          <w:sz w:val="24"/>
          <w:szCs w:val="24"/>
          <w:highlight w:val="none"/>
          <w:lang w:val="en-US" w:eastAsia="zh-CN"/>
        </w:rPr>
        <w:t>2005</w:t>
      </w:r>
      <w:r>
        <w:rPr>
          <w:rFonts w:hint="eastAsia" w:ascii="宋体" w:hAnsi="宋体" w:eastAsia="宋体" w:cs="宋体"/>
          <w:sz w:val="24"/>
          <w:szCs w:val="24"/>
          <w:highlight w:val="none"/>
          <w:lang w:val="en-US" w:eastAsia="zh-CN"/>
        </w:rPr>
        <w:t>年</w:t>
      </w:r>
      <w:r>
        <w:rPr>
          <w:rFonts w:hint="eastAsia" w:ascii="宋体" w:hAnsi="宋体" w:eastAsia="宋体" w:cs="宋体"/>
          <w:sz w:val="24"/>
          <w:szCs w:val="24"/>
          <w:highlight w:val="none"/>
        </w:rPr>
        <w:t>成立之初到现在，随着企业的创立、成长与发展，</w:t>
      </w:r>
      <w:r>
        <w:rPr>
          <w:rFonts w:hint="eastAsia" w:cs="宋体"/>
          <w:sz w:val="24"/>
          <w:szCs w:val="24"/>
          <w:highlight w:val="none"/>
          <w:lang w:val="en-US" w:eastAsia="zh-CN"/>
        </w:rPr>
        <w:t>益大</w:t>
      </w:r>
      <w:r>
        <w:rPr>
          <w:rFonts w:hint="eastAsia" w:ascii="宋体" w:hAnsi="宋体" w:eastAsia="宋体" w:cs="宋体"/>
          <w:sz w:val="24"/>
          <w:szCs w:val="24"/>
          <w:highlight w:val="none"/>
        </w:rPr>
        <w:t>逐步形成了其独具特色的企业文化体系。</w:t>
      </w:r>
    </w:p>
    <w:p>
      <w:pPr>
        <w:pStyle w:val="4"/>
        <w:spacing w:before="166" w:line="360" w:lineRule="auto"/>
        <w:ind w:right="359"/>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1）确立以使命、愿景和价值观为和核心的文化</w:t>
      </w:r>
    </w:p>
    <w:p>
      <w:pPr>
        <w:spacing w:line="360" w:lineRule="auto"/>
        <w:ind w:firstLine="482" w:firstLineChars="200"/>
        <w:rPr>
          <w:rFonts w:hint="eastAsia" w:ascii="宋体" w:hAnsi="宋体" w:eastAsia="宋体" w:cs="宋体"/>
          <w:sz w:val="24"/>
          <w:szCs w:val="24"/>
          <w:lang w:eastAsia="zh-CN"/>
        </w:rPr>
      </w:pPr>
      <w:r>
        <w:rPr>
          <w:rFonts w:hint="eastAsia" w:ascii="宋体" w:hAnsi="宋体" w:eastAsia="宋体" w:cs="宋体"/>
          <w:b/>
          <w:sz w:val="24"/>
          <w:szCs w:val="24"/>
        </w:rPr>
        <w:t>企业价值观</w:t>
      </w:r>
      <w:r>
        <w:rPr>
          <w:rFonts w:hint="eastAsia" w:ascii="宋体" w:hAnsi="宋体" w:eastAsia="宋体" w:cs="宋体"/>
          <w:sz w:val="24"/>
          <w:szCs w:val="24"/>
        </w:rPr>
        <w:t>：</w:t>
      </w:r>
      <w:r>
        <w:rPr>
          <w:rFonts w:hint="eastAsia" w:cs="宋体"/>
          <w:sz w:val="24"/>
          <w:szCs w:val="24"/>
          <w:lang w:eastAsia="zh-CN"/>
        </w:rPr>
        <w:t>诚信、求实、开拓、创新</w:t>
      </w:r>
    </w:p>
    <w:p>
      <w:pPr>
        <w:spacing w:line="360" w:lineRule="auto"/>
        <w:ind w:firstLine="482" w:firstLineChars="200"/>
        <w:rPr>
          <w:rFonts w:hint="eastAsia" w:ascii="宋体" w:hAnsi="宋体" w:eastAsia="宋体" w:cs="宋体"/>
          <w:sz w:val="24"/>
          <w:szCs w:val="24"/>
          <w:lang w:eastAsia="zh-CN"/>
        </w:rPr>
      </w:pPr>
      <w:r>
        <w:rPr>
          <w:rFonts w:hint="eastAsia" w:cs="宋体"/>
          <w:b/>
          <w:sz w:val="24"/>
          <w:szCs w:val="24"/>
          <w:lang w:eastAsia="zh-CN"/>
        </w:rPr>
        <w:t>益大</w:t>
      </w:r>
      <w:r>
        <w:rPr>
          <w:rFonts w:hint="eastAsia" w:ascii="宋体" w:hAnsi="宋体" w:eastAsia="宋体" w:cs="宋体"/>
          <w:b/>
          <w:sz w:val="24"/>
          <w:szCs w:val="24"/>
        </w:rPr>
        <w:t>使命</w:t>
      </w:r>
      <w:r>
        <w:rPr>
          <w:rFonts w:hint="eastAsia" w:ascii="宋体" w:hAnsi="宋体" w:eastAsia="宋体" w:cs="宋体"/>
          <w:sz w:val="24"/>
          <w:szCs w:val="24"/>
        </w:rPr>
        <w:t>：</w:t>
      </w:r>
      <w:r>
        <w:rPr>
          <w:rFonts w:hint="eastAsia" w:cs="宋体"/>
          <w:sz w:val="24"/>
          <w:szCs w:val="24"/>
          <w:lang w:eastAsia="zh-CN"/>
        </w:rPr>
        <w:t>成为最具有竞争力的大口径不锈钢钢管企业</w:t>
      </w:r>
    </w:p>
    <w:p>
      <w:pPr>
        <w:spacing w:line="360" w:lineRule="auto"/>
        <w:ind w:firstLine="482" w:firstLineChars="200"/>
        <w:rPr>
          <w:rFonts w:hint="eastAsia" w:cs="宋体"/>
          <w:sz w:val="24"/>
          <w:szCs w:val="24"/>
          <w:lang w:eastAsia="zh-CN"/>
        </w:rPr>
      </w:pPr>
      <w:r>
        <w:rPr>
          <w:rFonts w:hint="eastAsia" w:ascii="宋体" w:hAnsi="宋体" w:eastAsia="宋体" w:cs="宋体"/>
          <w:b/>
          <w:sz w:val="24"/>
          <w:szCs w:val="24"/>
          <w:lang w:eastAsia="zh-CN"/>
        </w:rPr>
        <w:t>益大</w:t>
      </w:r>
      <w:r>
        <w:rPr>
          <w:rFonts w:hint="eastAsia" w:ascii="宋体" w:hAnsi="宋体" w:eastAsia="宋体" w:cs="宋体"/>
          <w:b/>
          <w:sz w:val="24"/>
          <w:szCs w:val="24"/>
        </w:rPr>
        <w:t>愿景：</w:t>
      </w:r>
      <w:r>
        <w:rPr>
          <w:rFonts w:hint="eastAsia" w:cs="宋体"/>
          <w:sz w:val="24"/>
          <w:szCs w:val="24"/>
          <w:lang w:eastAsia="zh-CN"/>
        </w:rPr>
        <w:t>为客户提供优良的产品和服务</w:t>
      </w:r>
    </w:p>
    <w:p>
      <w:pPr>
        <w:spacing w:line="360" w:lineRule="auto"/>
        <w:ind w:firstLine="482" w:firstLineChars="200"/>
        <w:rPr>
          <w:rFonts w:hint="eastAsia" w:ascii="宋体" w:hAnsi="宋体" w:eastAsia="宋体" w:cs="宋体"/>
          <w:sz w:val="24"/>
          <w:szCs w:val="24"/>
          <w:lang w:eastAsia="zh-CN"/>
        </w:rPr>
      </w:pPr>
      <w:r>
        <w:rPr>
          <w:rFonts w:hint="eastAsia" w:ascii="宋体" w:hAnsi="宋体" w:eastAsia="宋体" w:cs="宋体"/>
          <w:b/>
          <w:sz w:val="24"/>
          <w:szCs w:val="24"/>
          <w:lang w:eastAsia="zh-CN"/>
        </w:rPr>
        <w:t>益大</w:t>
      </w:r>
      <w:r>
        <w:rPr>
          <w:rFonts w:hint="eastAsia" w:ascii="宋体" w:hAnsi="宋体" w:eastAsia="宋体" w:cs="宋体"/>
          <w:b/>
          <w:sz w:val="24"/>
          <w:szCs w:val="24"/>
        </w:rPr>
        <w:t>理念：</w:t>
      </w:r>
      <w:r>
        <w:rPr>
          <w:rFonts w:hint="eastAsia" w:cs="宋体"/>
          <w:sz w:val="24"/>
          <w:szCs w:val="24"/>
          <w:lang w:eastAsia="zh-CN"/>
        </w:rPr>
        <w:t>一站式数</w:t>
      </w:r>
      <w:r>
        <w:rPr>
          <w:rFonts w:hint="eastAsia" w:cs="宋体"/>
          <w:sz w:val="24"/>
          <w:szCs w:val="24"/>
          <w:lang w:eastAsia="zh-CN"/>
        </w:rPr>
        <w:t>字化管理，可持续高质量发展</w:t>
      </w:r>
    </w:p>
    <w:p>
      <w:pPr>
        <w:pStyle w:val="4"/>
        <w:spacing w:before="166" w:line="360" w:lineRule="auto"/>
        <w:ind w:right="359"/>
        <w:jc w:val="both"/>
        <w:rPr>
          <w:rFonts w:hint="eastAsia" w:cs="宋体"/>
          <w:sz w:val="24"/>
          <w:szCs w:val="24"/>
          <w:highlight w:val="none"/>
          <w:lang w:val="en-US" w:eastAsia="zh-CN"/>
        </w:rPr>
      </w:pPr>
      <w:r>
        <w:rPr>
          <w:rFonts w:hint="eastAsia" w:ascii="宋体" w:hAnsi="宋体" w:eastAsia="宋体" w:cs="宋体"/>
          <w:sz w:val="24"/>
          <w:szCs w:val="24"/>
          <w:highlight w:val="none"/>
          <w:lang w:val="en-US"/>
        </w:rPr>
        <w:t>公司总体目标：</w:t>
      </w:r>
      <w:r>
        <w:rPr>
          <w:rFonts w:hint="eastAsia" w:cs="宋体"/>
          <w:sz w:val="24"/>
          <w:szCs w:val="24"/>
          <w:highlight w:val="none"/>
          <w:lang w:val="en-US" w:eastAsia="zh-CN"/>
        </w:rPr>
        <w:t>为成为最具有竞争力的大口径不锈钢钢管企业，将企业发展为</w:t>
      </w:r>
      <w:r>
        <w:rPr>
          <w:rFonts w:hint="eastAsia" w:cs="宋体"/>
          <w:sz w:val="24"/>
          <w:szCs w:val="24"/>
          <w:lang w:eastAsia="zh-CN"/>
        </w:rPr>
        <w:t>具有竞争力的一流生产企业</w:t>
      </w:r>
      <w:r>
        <w:rPr>
          <w:rFonts w:hint="eastAsia" w:cs="宋体"/>
          <w:sz w:val="24"/>
          <w:szCs w:val="24"/>
          <w:highlight w:val="none"/>
          <w:lang w:val="en-US" w:eastAsia="zh-CN"/>
        </w:rPr>
        <w:t>。</w:t>
      </w:r>
    </w:p>
    <w:p>
      <w:pPr>
        <w:pStyle w:val="4"/>
        <w:spacing w:before="166" w:line="360" w:lineRule="auto"/>
        <w:ind w:right="359"/>
        <w:jc w:val="both"/>
        <w:rPr>
          <w:rFonts w:hint="eastAsia" w:ascii="宋体" w:hAnsi="宋体" w:eastAsia="宋体" w:cs="宋体"/>
          <w:sz w:val="24"/>
          <w:szCs w:val="24"/>
          <w:highlight w:val="none"/>
          <w:lang w:val="en-US"/>
        </w:rPr>
      </w:pPr>
      <w:r>
        <w:rPr>
          <w:rFonts w:hint="eastAsia" w:ascii="宋体" w:hAnsi="宋体" w:eastAsia="宋体" w:cs="宋体"/>
          <w:sz w:val="24"/>
          <w:szCs w:val="24"/>
          <w:highlight w:val="none"/>
          <w:lang w:val="en-US"/>
        </w:rPr>
        <w:t>公司战略发展阶段目标：</w:t>
      </w:r>
    </w:p>
    <w:p>
      <w:pPr>
        <w:pStyle w:val="4"/>
        <w:spacing w:before="166" w:line="360" w:lineRule="auto"/>
        <w:ind w:right="359" w:firstLine="480"/>
        <w:jc w:val="both"/>
        <w:rPr>
          <w:rFonts w:hint="eastAsia" w:ascii="宋体" w:hAnsi="宋体" w:eastAsia="宋体" w:cs="宋体"/>
          <w:sz w:val="24"/>
          <w:szCs w:val="24"/>
          <w:highlight w:val="none"/>
          <w:lang w:val="en-US"/>
        </w:rPr>
      </w:pPr>
      <w:r>
        <w:rPr>
          <w:rFonts w:hint="eastAsia" w:ascii="宋体" w:hAnsi="宋体" w:eastAsia="宋体" w:cs="宋体"/>
          <w:sz w:val="24"/>
          <w:szCs w:val="24"/>
          <w:highlight w:val="none"/>
          <w:lang w:val="en-US"/>
        </w:rPr>
        <w:t>近期目标：改革实施阶段（202</w:t>
      </w:r>
      <w:r>
        <w:rPr>
          <w:rFonts w:hint="eastAsia" w:cs="宋体"/>
          <w:sz w:val="24"/>
          <w:szCs w:val="24"/>
          <w:highlight w:val="none"/>
          <w:lang w:val="en-US" w:eastAsia="zh-CN"/>
        </w:rPr>
        <w:t>1</w:t>
      </w:r>
      <w:r>
        <w:rPr>
          <w:rFonts w:hint="eastAsia" w:ascii="宋体" w:hAnsi="宋体" w:eastAsia="宋体" w:cs="宋体"/>
          <w:sz w:val="24"/>
          <w:szCs w:val="24"/>
          <w:highlight w:val="none"/>
          <w:lang w:val="en-US"/>
        </w:rPr>
        <w:t xml:space="preserve"> 年- 202</w:t>
      </w:r>
      <w:r>
        <w:rPr>
          <w:rFonts w:hint="eastAsia" w:cs="宋体"/>
          <w:sz w:val="24"/>
          <w:szCs w:val="24"/>
          <w:highlight w:val="none"/>
          <w:lang w:val="en-US" w:eastAsia="zh-CN"/>
        </w:rPr>
        <w:t>2</w:t>
      </w:r>
      <w:r>
        <w:rPr>
          <w:rFonts w:hint="eastAsia" w:ascii="宋体" w:hAnsi="宋体" w:eastAsia="宋体" w:cs="宋体"/>
          <w:sz w:val="24"/>
          <w:szCs w:val="24"/>
          <w:highlight w:val="none"/>
          <w:lang w:val="en-US"/>
        </w:rPr>
        <w:t>年）：强化内部管理，健全和理顺管理体系，强化流程和制度建设，组建强有力的管理团队。保持</w:t>
      </w:r>
      <w:r>
        <w:rPr>
          <w:rFonts w:hint="eastAsia" w:cs="宋体"/>
          <w:sz w:val="24"/>
          <w:szCs w:val="24"/>
          <w:highlight w:val="none"/>
          <w:lang w:val="en-US" w:eastAsia="zh-CN"/>
        </w:rPr>
        <w:t>2</w:t>
      </w:r>
      <w:r>
        <w:rPr>
          <w:rFonts w:hint="eastAsia" w:ascii="宋体" w:hAnsi="宋体" w:eastAsia="宋体" w:cs="宋体"/>
          <w:sz w:val="24"/>
          <w:szCs w:val="24"/>
          <w:highlight w:val="none"/>
          <w:lang w:val="en-US"/>
        </w:rPr>
        <w:t>0%以上的营业收入年增长率和利润率。</w:t>
      </w:r>
    </w:p>
    <w:p>
      <w:pPr>
        <w:pStyle w:val="4"/>
        <w:spacing w:before="166" w:line="360" w:lineRule="auto"/>
        <w:ind w:right="359" w:firstLine="480"/>
        <w:jc w:val="both"/>
        <w:rPr>
          <w:rFonts w:hint="eastAsia" w:ascii="宋体" w:hAnsi="宋体" w:eastAsia="宋体" w:cs="宋体"/>
          <w:sz w:val="24"/>
          <w:szCs w:val="24"/>
          <w:highlight w:val="none"/>
          <w:lang w:val="en-US"/>
        </w:rPr>
      </w:pPr>
      <w:r>
        <w:rPr>
          <w:rFonts w:hint="eastAsia" w:ascii="宋体" w:hAnsi="宋体" w:eastAsia="宋体" w:cs="宋体"/>
          <w:sz w:val="24"/>
          <w:szCs w:val="24"/>
          <w:highlight w:val="none"/>
          <w:lang w:val="en-US"/>
        </w:rPr>
        <w:t>中期目标：（202</w:t>
      </w:r>
      <w:r>
        <w:rPr>
          <w:rFonts w:hint="eastAsia" w:cs="宋体"/>
          <w:sz w:val="24"/>
          <w:szCs w:val="24"/>
          <w:highlight w:val="none"/>
          <w:lang w:val="en-US" w:eastAsia="zh-CN"/>
        </w:rPr>
        <w:t>3</w:t>
      </w:r>
      <w:r>
        <w:rPr>
          <w:rFonts w:hint="eastAsia" w:ascii="宋体" w:hAnsi="宋体" w:eastAsia="宋体" w:cs="宋体"/>
          <w:sz w:val="24"/>
          <w:szCs w:val="24"/>
          <w:highlight w:val="none"/>
          <w:lang w:val="en-US"/>
        </w:rPr>
        <w:t xml:space="preserve"> 年- 202</w:t>
      </w:r>
      <w:r>
        <w:rPr>
          <w:rFonts w:hint="eastAsia" w:cs="宋体"/>
          <w:sz w:val="24"/>
          <w:szCs w:val="24"/>
          <w:highlight w:val="none"/>
          <w:lang w:val="en-US" w:eastAsia="zh-CN"/>
        </w:rPr>
        <w:t>4</w:t>
      </w:r>
      <w:r>
        <w:rPr>
          <w:rFonts w:hint="eastAsia" w:ascii="宋体" w:hAnsi="宋体" w:eastAsia="宋体" w:cs="宋体"/>
          <w:sz w:val="24"/>
          <w:szCs w:val="24"/>
          <w:highlight w:val="none"/>
          <w:lang w:val="en-US"/>
        </w:rPr>
        <w:t>年）：强化自主创新能力建设，提供企业核心竞争力，加大企业对新兴领域的研究力度，健全营销团队和研发团队，使产品的品牌效应不断凸显出来，占据市场，保证企业有生产、有销售，不断扩大企业的品牌优势，营业收入年增长率和利润率保持</w:t>
      </w:r>
      <w:r>
        <w:rPr>
          <w:rFonts w:hint="eastAsia" w:cs="宋体"/>
          <w:sz w:val="24"/>
          <w:szCs w:val="24"/>
          <w:highlight w:val="none"/>
          <w:lang w:val="en-US" w:eastAsia="zh-CN"/>
        </w:rPr>
        <w:t>20</w:t>
      </w:r>
      <w:r>
        <w:rPr>
          <w:rFonts w:hint="eastAsia" w:ascii="宋体" w:hAnsi="宋体" w:eastAsia="宋体" w:cs="宋体"/>
          <w:sz w:val="24"/>
          <w:szCs w:val="24"/>
          <w:highlight w:val="none"/>
          <w:lang w:val="en-US"/>
        </w:rPr>
        <w:t>%以上。</w:t>
      </w:r>
    </w:p>
    <w:p>
      <w:pPr>
        <w:pStyle w:val="4"/>
        <w:spacing w:before="166" w:line="360" w:lineRule="auto"/>
        <w:ind w:right="359" w:firstLine="480"/>
        <w:jc w:val="both"/>
        <w:rPr>
          <w:rFonts w:hint="eastAsia" w:ascii="宋体" w:hAnsi="宋体" w:eastAsia="宋体" w:cs="宋体"/>
          <w:sz w:val="24"/>
          <w:szCs w:val="24"/>
          <w:highlight w:val="none"/>
          <w:lang w:val="en-US"/>
        </w:rPr>
      </w:pPr>
      <w:r>
        <w:rPr>
          <w:rFonts w:hint="eastAsia" w:ascii="宋体" w:hAnsi="宋体" w:eastAsia="宋体" w:cs="宋体"/>
          <w:sz w:val="24"/>
          <w:szCs w:val="24"/>
          <w:highlight w:val="none"/>
          <w:lang w:val="en-US"/>
        </w:rPr>
        <w:t>长期目标：（202</w:t>
      </w:r>
      <w:r>
        <w:rPr>
          <w:rFonts w:hint="eastAsia" w:cs="宋体"/>
          <w:sz w:val="24"/>
          <w:szCs w:val="24"/>
          <w:highlight w:val="none"/>
          <w:lang w:val="en-US" w:eastAsia="zh-CN"/>
        </w:rPr>
        <w:t>5</w:t>
      </w:r>
      <w:r>
        <w:rPr>
          <w:rFonts w:hint="eastAsia" w:ascii="宋体" w:hAnsi="宋体" w:eastAsia="宋体" w:cs="宋体"/>
          <w:sz w:val="24"/>
          <w:szCs w:val="24"/>
          <w:highlight w:val="none"/>
          <w:lang w:val="en-US"/>
        </w:rPr>
        <w:t xml:space="preserve"> 年），引进国内外先进设备，实现销售收入</w:t>
      </w:r>
      <w:r>
        <w:rPr>
          <w:rFonts w:hint="eastAsia" w:cs="宋体"/>
          <w:sz w:val="24"/>
          <w:szCs w:val="24"/>
          <w:highlight w:val="none"/>
          <w:lang w:val="en-US" w:eastAsia="zh-CN"/>
        </w:rPr>
        <w:t>20000万</w:t>
      </w:r>
      <w:r>
        <w:rPr>
          <w:rFonts w:hint="eastAsia" w:ascii="宋体" w:hAnsi="宋体" w:eastAsia="宋体" w:cs="宋体"/>
          <w:sz w:val="24"/>
          <w:szCs w:val="24"/>
          <w:highlight w:val="none"/>
          <w:lang w:val="en-US"/>
        </w:rPr>
        <w:t xml:space="preserve">，利润 </w:t>
      </w:r>
      <w:r>
        <w:rPr>
          <w:rFonts w:hint="eastAsia" w:cs="宋体"/>
          <w:sz w:val="24"/>
          <w:szCs w:val="24"/>
          <w:highlight w:val="none"/>
          <w:lang w:val="en-US" w:eastAsia="zh-CN"/>
        </w:rPr>
        <w:t>1300</w:t>
      </w:r>
      <w:r>
        <w:rPr>
          <w:rFonts w:hint="eastAsia" w:ascii="宋体" w:hAnsi="宋体" w:eastAsia="宋体" w:cs="宋体"/>
          <w:sz w:val="24"/>
          <w:szCs w:val="24"/>
          <w:highlight w:val="none"/>
          <w:lang w:val="en-US"/>
        </w:rPr>
        <w:t>万元。稳定企业的市场占有率，在此基础上更加完善产品品质，拓展业务范围，保持稳定的市场竞争力，将企业发展为</w:t>
      </w:r>
      <w:r>
        <w:rPr>
          <w:rFonts w:hint="eastAsia" w:cs="宋体"/>
          <w:sz w:val="24"/>
          <w:szCs w:val="24"/>
          <w:lang w:eastAsia="zh-CN"/>
        </w:rPr>
        <w:t>具有竞争力的一流生产企业</w:t>
      </w:r>
      <w:r>
        <w:rPr>
          <w:rFonts w:hint="eastAsia" w:ascii="宋体" w:hAnsi="宋体" w:eastAsia="宋体" w:cs="宋体"/>
          <w:sz w:val="24"/>
          <w:szCs w:val="24"/>
          <w:highlight w:val="none"/>
          <w:lang w:val="en-US"/>
        </w:rPr>
        <w:t>。</w:t>
      </w:r>
    </w:p>
    <w:p>
      <w:pPr>
        <w:pStyle w:val="4"/>
        <w:spacing w:before="166" w:line="360" w:lineRule="auto"/>
        <w:ind w:right="359" w:firstLine="480"/>
        <w:jc w:val="both"/>
        <w:rPr>
          <w:rFonts w:hint="eastAsia" w:ascii="宋体" w:hAnsi="宋体" w:eastAsia="宋体" w:cs="宋体"/>
          <w:sz w:val="24"/>
          <w:szCs w:val="24"/>
          <w:highlight w:val="none"/>
        </w:rPr>
      </w:pPr>
      <w:r>
        <w:rPr>
          <w:rFonts w:hint="eastAsia" w:cs="宋体"/>
          <w:sz w:val="24"/>
          <w:szCs w:val="24"/>
          <w:highlight w:val="none"/>
          <w:lang w:val="en-US" w:eastAsia="zh-CN"/>
        </w:rPr>
        <w:t>益大</w:t>
      </w:r>
      <w:r>
        <w:rPr>
          <w:rFonts w:hint="eastAsia" w:ascii="宋体" w:hAnsi="宋体" w:eastAsia="宋体" w:cs="宋体"/>
          <w:sz w:val="24"/>
          <w:szCs w:val="24"/>
          <w:highlight w:val="none"/>
        </w:rPr>
        <w:t>自</w:t>
      </w:r>
      <w:r>
        <w:rPr>
          <w:rFonts w:hint="eastAsia" w:cs="宋体"/>
          <w:sz w:val="24"/>
          <w:szCs w:val="24"/>
          <w:highlight w:val="none"/>
          <w:lang w:val="en-US" w:eastAsia="zh-CN"/>
        </w:rPr>
        <w:t>2005</w:t>
      </w:r>
      <w:r>
        <w:rPr>
          <w:rFonts w:hint="eastAsia" w:ascii="宋体" w:hAnsi="宋体" w:eastAsia="宋体" w:cs="宋体"/>
          <w:sz w:val="24"/>
          <w:szCs w:val="24"/>
          <w:highlight w:val="none"/>
        </w:rPr>
        <w:t>年创立以来，基于行业特点及企业发展逐步凝练了核心价值观，并随着公司的发展而不断调整和提升，最终提炼形成了公司的核心价值理念体系。</w:t>
      </w:r>
    </w:p>
    <w:tbl>
      <w:tblPr>
        <w:tblStyle w:val="11"/>
        <w:tblW w:w="8453" w:type="dxa"/>
        <w:tblInd w:w="3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2"/>
        <w:gridCol w:w="66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772" w:type="dxa"/>
            <w:shd w:val="clear" w:color="auto" w:fill="4472C4"/>
            <w:vAlign w:val="center"/>
          </w:tcPr>
          <w:p>
            <w:pPr>
              <w:spacing w:line="360" w:lineRule="auto"/>
              <w:jc w:val="center"/>
              <w:rPr>
                <w:rFonts w:hint="eastAsia" w:ascii="宋体" w:hAnsi="宋体" w:eastAsia="宋体" w:cs="宋体"/>
                <w:b/>
                <w:bCs/>
                <w:color w:val="000000"/>
                <w:sz w:val="24"/>
                <w:szCs w:val="24"/>
                <w:highlight w:val="none"/>
              </w:rPr>
            </w:pPr>
            <w:r>
              <w:rPr>
                <w:rFonts w:hint="eastAsia" w:ascii="宋体" w:hAnsi="宋体" w:eastAsia="宋体" w:cs="宋体"/>
                <w:b/>
                <w:bCs/>
                <w:color w:val="000000"/>
                <w:sz w:val="24"/>
                <w:szCs w:val="24"/>
                <w:highlight w:val="none"/>
              </w:rPr>
              <w:t>文化构成</w:t>
            </w:r>
          </w:p>
        </w:tc>
        <w:tc>
          <w:tcPr>
            <w:tcW w:w="6681" w:type="dxa"/>
            <w:shd w:val="clear" w:color="auto" w:fill="4472C4"/>
            <w:vAlign w:val="center"/>
          </w:tcPr>
          <w:p>
            <w:pPr>
              <w:spacing w:line="360" w:lineRule="auto"/>
              <w:jc w:val="center"/>
              <w:rPr>
                <w:rFonts w:hint="eastAsia" w:ascii="宋体" w:hAnsi="宋体" w:eastAsia="宋体" w:cs="宋体"/>
                <w:b/>
                <w:bCs/>
                <w:color w:val="000000"/>
                <w:sz w:val="24"/>
                <w:szCs w:val="24"/>
                <w:highlight w:val="none"/>
              </w:rPr>
            </w:pPr>
            <w:r>
              <w:rPr>
                <w:rFonts w:hint="eastAsia" w:ascii="宋体" w:hAnsi="宋体" w:eastAsia="宋体" w:cs="宋体"/>
                <w:b/>
                <w:bCs/>
                <w:color w:val="000000"/>
                <w:sz w:val="24"/>
                <w:szCs w:val="24"/>
                <w:highlight w:val="none"/>
              </w:rPr>
              <w:t>表述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1772" w:type="dxa"/>
            <w:shd w:val="clear" w:color="auto" w:fill="auto"/>
            <w:vAlign w:val="center"/>
          </w:tcPr>
          <w:p>
            <w:pPr>
              <w:spacing w:line="360" w:lineRule="auto"/>
              <w:jc w:val="center"/>
              <w:rPr>
                <w:rFonts w:hint="eastAsia" w:ascii="宋体" w:hAnsi="宋体" w:eastAsia="宋体" w:cs="宋体"/>
                <w:b/>
                <w:bCs/>
                <w:color w:val="000000"/>
                <w:sz w:val="24"/>
                <w:szCs w:val="24"/>
                <w:highlight w:val="none"/>
              </w:rPr>
            </w:pPr>
            <w:r>
              <w:rPr>
                <w:rFonts w:hint="eastAsia" w:ascii="宋体" w:hAnsi="宋体" w:eastAsia="宋体" w:cs="宋体"/>
                <w:b/>
                <w:bCs/>
                <w:color w:val="000000"/>
                <w:sz w:val="24"/>
                <w:szCs w:val="24"/>
                <w:highlight w:val="none"/>
              </w:rPr>
              <w:t>使命</w:t>
            </w:r>
          </w:p>
        </w:tc>
        <w:tc>
          <w:tcPr>
            <w:tcW w:w="6681" w:type="dxa"/>
            <w:shd w:val="clear" w:color="auto" w:fill="auto"/>
            <w:vAlign w:val="center"/>
          </w:tcPr>
          <w:p>
            <w:pPr>
              <w:spacing w:line="240" w:lineRule="auto"/>
              <w:jc w:val="center"/>
              <w:rPr>
                <w:rFonts w:hint="eastAsia" w:ascii="宋体" w:hAnsi="宋体" w:eastAsia="宋体" w:cs="宋体"/>
                <w:color w:val="000000"/>
                <w:sz w:val="24"/>
                <w:szCs w:val="24"/>
                <w:highlight w:val="none"/>
                <w:lang w:eastAsia="zh-CN"/>
              </w:rPr>
            </w:pPr>
            <w:r>
              <w:rPr>
                <w:rFonts w:hint="eastAsia" w:cs="宋体"/>
                <w:b/>
                <w:bCs/>
                <w:color w:val="000000"/>
                <w:sz w:val="21"/>
                <w:szCs w:val="21"/>
                <w:lang w:val="en-US" w:eastAsia="zh-CN"/>
              </w:rPr>
              <w:t>成为最具有竞争力的大口径不锈钢钢管企业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772" w:type="dxa"/>
            <w:shd w:val="clear" w:color="auto" w:fill="auto"/>
            <w:vAlign w:val="center"/>
          </w:tcPr>
          <w:p>
            <w:pPr>
              <w:spacing w:line="360" w:lineRule="auto"/>
              <w:jc w:val="center"/>
              <w:rPr>
                <w:rFonts w:hint="eastAsia" w:ascii="宋体" w:hAnsi="宋体" w:eastAsia="宋体" w:cs="宋体"/>
                <w:b/>
                <w:bCs/>
                <w:color w:val="000000"/>
                <w:sz w:val="24"/>
                <w:szCs w:val="24"/>
                <w:highlight w:val="none"/>
              </w:rPr>
            </w:pPr>
            <w:r>
              <w:rPr>
                <w:rFonts w:hint="eastAsia" w:ascii="宋体" w:hAnsi="宋体" w:eastAsia="宋体" w:cs="宋体"/>
                <w:b/>
                <w:bCs/>
                <w:color w:val="000000"/>
                <w:sz w:val="24"/>
                <w:szCs w:val="24"/>
                <w:highlight w:val="none"/>
              </w:rPr>
              <w:t>愿景</w:t>
            </w:r>
          </w:p>
        </w:tc>
        <w:tc>
          <w:tcPr>
            <w:tcW w:w="6681" w:type="dxa"/>
            <w:shd w:val="clear" w:color="auto" w:fill="auto"/>
            <w:vAlign w:val="center"/>
          </w:tcPr>
          <w:p>
            <w:pPr>
              <w:spacing w:line="240" w:lineRule="auto"/>
              <w:jc w:val="center"/>
              <w:rPr>
                <w:rFonts w:hint="eastAsia" w:ascii="宋体" w:hAnsi="宋体" w:eastAsia="宋体" w:cs="宋体"/>
                <w:color w:val="000000"/>
                <w:sz w:val="24"/>
                <w:szCs w:val="24"/>
                <w:highlight w:val="none"/>
                <w:lang w:eastAsia="zh-CN"/>
              </w:rPr>
            </w:pPr>
            <w:r>
              <w:rPr>
                <w:rFonts w:hint="eastAsia" w:cs="宋体"/>
                <w:b/>
                <w:bCs/>
                <w:color w:val="000000"/>
                <w:sz w:val="21"/>
                <w:szCs w:val="21"/>
                <w:lang w:val="en-US" w:eastAsia="zh-CN"/>
              </w:rPr>
              <w:t>为客户提供优良的产品和服务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1772" w:type="dxa"/>
            <w:shd w:val="clear" w:color="auto" w:fill="auto"/>
            <w:vAlign w:val="center"/>
          </w:tcPr>
          <w:p>
            <w:pPr>
              <w:spacing w:line="360" w:lineRule="auto"/>
              <w:jc w:val="center"/>
              <w:rPr>
                <w:rFonts w:hint="eastAsia" w:ascii="宋体" w:hAnsi="宋体" w:eastAsia="宋体" w:cs="宋体"/>
                <w:b/>
                <w:bCs/>
                <w:color w:val="000000"/>
                <w:sz w:val="24"/>
                <w:szCs w:val="24"/>
                <w:highlight w:val="none"/>
              </w:rPr>
            </w:pPr>
            <w:r>
              <w:rPr>
                <w:rFonts w:hint="eastAsia" w:ascii="宋体" w:hAnsi="宋体" w:eastAsia="宋体" w:cs="宋体"/>
                <w:b/>
                <w:bCs/>
                <w:color w:val="000000"/>
                <w:sz w:val="24"/>
                <w:szCs w:val="24"/>
                <w:highlight w:val="none"/>
              </w:rPr>
              <w:t>价值观</w:t>
            </w:r>
          </w:p>
        </w:tc>
        <w:tc>
          <w:tcPr>
            <w:tcW w:w="6681" w:type="dxa"/>
            <w:shd w:val="clear" w:color="auto" w:fill="auto"/>
            <w:vAlign w:val="center"/>
          </w:tcPr>
          <w:p>
            <w:pPr>
              <w:spacing w:line="240" w:lineRule="auto"/>
              <w:jc w:val="center"/>
              <w:rPr>
                <w:rFonts w:hint="eastAsia" w:ascii="宋体" w:hAnsi="宋体" w:eastAsia="宋体" w:cs="宋体"/>
                <w:color w:val="000000"/>
                <w:sz w:val="24"/>
                <w:szCs w:val="24"/>
                <w:highlight w:val="none"/>
                <w:lang w:eastAsia="zh-CN"/>
              </w:rPr>
            </w:pPr>
            <w:r>
              <w:rPr>
                <w:rFonts w:hint="eastAsia" w:cs="宋体"/>
                <w:b/>
                <w:bCs/>
                <w:color w:val="000000"/>
                <w:sz w:val="21"/>
                <w:szCs w:val="21"/>
                <w:lang w:val="en-US" w:eastAsia="zh-CN"/>
              </w:rPr>
              <w:t>诚信、求实、开拓、创新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772" w:type="dxa"/>
            <w:shd w:val="clear" w:color="auto" w:fill="auto"/>
            <w:vAlign w:val="center"/>
          </w:tcPr>
          <w:p>
            <w:pPr>
              <w:spacing w:line="360" w:lineRule="auto"/>
              <w:jc w:val="center"/>
              <w:rPr>
                <w:rFonts w:hint="eastAsia" w:ascii="宋体" w:hAnsi="宋体" w:eastAsia="宋体" w:cs="宋体"/>
                <w:b/>
                <w:bCs/>
                <w:color w:val="000000"/>
                <w:sz w:val="24"/>
                <w:szCs w:val="24"/>
                <w:highlight w:val="none"/>
              </w:rPr>
            </w:pPr>
            <w:r>
              <w:rPr>
                <w:rFonts w:hint="eastAsia" w:ascii="宋体" w:hAnsi="宋体" w:eastAsia="宋体" w:cs="宋体"/>
                <w:b/>
                <w:bCs/>
                <w:color w:val="000000"/>
                <w:sz w:val="24"/>
                <w:szCs w:val="24"/>
                <w:highlight w:val="none"/>
              </w:rPr>
              <w:t>经营理念</w:t>
            </w:r>
          </w:p>
        </w:tc>
        <w:tc>
          <w:tcPr>
            <w:tcW w:w="6681" w:type="dxa"/>
            <w:shd w:val="clear" w:color="auto" w:fill="auto"/>
            <w:vAlign w:val="center"/>
          </w:tcPr>
          <w:p>
            <w:pPr>
              <w:spacing w:line="240" w:lineRule="auto"/>
              <w:jc w:val="center"/>
              <w:rPr>
                <w:rFonts w:hint="eastAsia" w:ascii="宋体" w:hAnsi="宋体" w:eastAsia="宋体" w:cs="宋体"/>
                <w:sz w:val="24"/>
                <w:szCs w:val="24"/>
                <w:highlight w:val="none"/>
                <w:lang w:val="en-US" w:eastAsia="zh-CN"/>
              </w:rPr>
            </w:pPr>
            <w:r>
              <w:rPr>
                <w:rFonts w:hint="eastAsia" w:cs="宋体"/>
                <w:b/>
                <w:bCs/>
                <w:color w:val="000000"/>
                <w:sz w:val="21"/>
                <w:szCs w:val="21"/>
                <w:lang w:val="en-US" w:eastAsia="zh-CN"/>
              </w:rPr>
              <w:t>一站式数字化管理，可持续高质量发展</w:t>
            </w:r>
          </w:p>
        </w:tc>
      </w:tr>
    </w:tbl>
    <w:p>
      <w:pPr>
        <w:pStyle w:val="4"/>
        <w:spacing w:before="166" w:line="360" w:lineRule="auto"/>
        <w:ind w:right="359" w:firstLine="48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图表</w:t>
      </w:r>
      <w:r>
        <w:rPr>
          <w:rFonts w:hint="eastAsia" w:ascii="宋体" w:hAnsi="宋体" w:eastAsia="宋体" w:cs="宋体"/>
          <w:sz w:val="24"/>
          <w:szCs w:val="24"/>
          <w:highlight w:val="none"/>
          <w:lang w:val="en-US"/>
        </w:rPr>
        <w:t>2</w:t>
      </w:r>
      <w:r>
        <w:rPr>
          <w:rFonts w:hint="eastAsia" w:ascii="宋体" w:hAnsi="宋体" w:eastAsia="宋体" w:cs="宋体"/>
          <w:sz w:val="24"/>
          <w:szCs w:val="24"/>
          <w:highlight w:val="none"/>
        </w:rPr>
        <w:t>.1-2 企业文化体系</w:t>
      </w:r>
    </w:p>
    <w:p>
      <w:pPr>
        <w:pStyle w:val="4"/>
        <w:spacing w:before="166" w:line="360" w:lineRule="auto"/>
        <w:ind w:right="359"/>
        <w:jc w:val="both"/>
        <w:rPr>
          <w:rFonts w:hint="eastAsia" w:ascii="宋体" w:hAnsi="宋体" w:eastAsia="宋体" w:cs="宋体"/>
          <w:sz w:val="24"/>
          <w:szCs w:val="24"/>
          <w:highlight w:val="none"/>
          <w:lang w:eastAsia="zh-CN"/>
        </w:rPr>
      </w:pPr>
      <w:bookmarkStart w:id="5" w:name="_Ref329948790"/>
      <w:r>
        <w:rPr>
          <w:rFonts w:hint="eastAsia" w:ascii="宋体" w:hAnsi="宋体" w:eastAsia="宋体" w:cs="宋体"/>
          <w:sz w:val="24"/>
          <w:szCs w:val="24"/>
          <w:highlight w:val="none"/>
        </w:rPr>
        <w:t>核心价值观：</w:t>
      </w:r>
      <w:r>
        <w:rPr>
          <w:rFonts w:hint="eastAsia" w:cs="宋体"/>
          <w:sz w:val="24"/>
          <w:szCs w:val="24"/>
          <w:lang w:eastAsia="zh-CN"/>
        </w:rPr>
        <w:t>诚信、求实、开拓、创新</w:t>
      </w:r>
    </w:p>
    <w:bookmarkEnd w:id="5"/>
    <w:p>
      <w:pPr>
        <w:pStyle w:val="4"/>
        <w:spacing w:before="166" w:line="360" w:lineRule="auto"/>
        <w:ind w:right="359"/>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1、诚信</w:t>
      </w:r>
    </w:p>
    <w:p>
      <w:pPr>
        <w:pStyle w:val="4"/>
        <w:spacing w:before="166" w:line="360" w:lineRule="auto"/>
        <w:ind w:right="359" w:firstLine="48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诚信是做人的根本，是发展的根基。以诚信经营事，以诚信经营人。在</w:t>
      </w:r>
      <w:r>
        <w:rPr>
          <w:rFonts w:hint="eastAsia" w:cs="宋体"/>
          <w:sz w:val="24"/>
          <w:szCs w:val="24"/>
          <w:highlight w:val="none"/>
          <w:lang w:eastAsia="zh-CN"/>
        </w:rPr>
        <w:t>益大</w:t>
      </w:r>
      <w:r>
        <w:rPr>
          <w:rFonts w:hint="eastAsia" w:ascii="宋体" w:hAnsi="宋体" w:eastAsia="宋体" w:cs="宋体"/>
          <w:sz w:val="24"/>
          <w:szCs w:val="24"/>
          <w:highlight w:val="none"/>
        </w:rPr>
        <w:t>发展历史中，到处是诚信的故事。可以说没有对顾客诚信就没有</w:t>
      </w:r>
      <w:r>
        <w:rPr>
          <w:rFonts w:hint="eastAsia" w:cs="宋体"/>
          <w:sz w:val="24"/>
          <w:szCs w:val="24"/>
          <w:highlight w:val="none"/>
          <w:lang w:eastAsia="zh-CN"/>
        </w:rPr>
        <w:t>益大</w:t>
      </w:r>
      <w:r>
        <w:rPr>
          <w:rFonts w:hint="eastAsia" w:ascii="宋体" w:hAnsi="宋体" w:eastAsia="宋体" w:cs="宋体"/>
          <w:sz w:val="24"/>
          <w:szCs w:val="24"/>
          <w:highlight w:val="none"/>
        </w:rPr>
        <w:t>;没有对合作伙伴的诚信，就没有</w:t>
      </w:r>
      <w:r>
        <w:rPr>
          <w:rFonts w:hint="eastAsia" w:cs="宋体"/>
          <w:sz w:val="24"/>
          <w:szCs w:val="24"/>
          <w:highlight w:val="none"/>
          <w:lang w:eastAsia="zh-CN"/>
        </w:rPr>
        <w:t>益大</w:t>
      </w:r>
      <w:r>
        <w:rPr>
          <w:rFonts w:hint="eastAsia" w:ascii="宋体" w:hAnsi="宋体" w:eastAsia="宋体" w:cs="宋体"/>
          <w:sz w:val="24"/>
          <w:szCs w:val="24"/>
          <w:highlight w:val="none"/>
        </w:rPr>
        <w:t>;没有对员工的诚信，更没有</w:t>
      </w:r>
      <w:r>
        <w:rPr>
          <w:rFonts w:hint="eastAsia" w:cs="宋体"/>
          <w:sz w:val="24"/>
          <w:szCs w:val="24"/>
          <w:highlight w:val="none"/>
          <w:lang w:eastAsia="zh-CN"/>
        </w:rPr>
        <w:t>益大</w:t>
      </w:r>
      <w:r>
        <w:rPr>
          <w:rFonts w:hint="eastAsia" w:ascii="宋体" w:hAnsi="宋体" w:eastAsia="宋体" w:cs="宋体"/>
          <w:sz w:val="24"/>
          <w:szCs w:val="24"/>
          <w:highlight w:val="none"/>
        </w:rPr>
        <w:t>。靠着说到做到的诚信精神，</w:t>
      </w:r>
      <w:r>
        <w:rPr>
          <w:rFonts w:hint="eastAsia" w:cs="宋体"/>
          <w:sz w:val="24"/>
          <w:szCs w:val="24"/>
          <w:highlight w:val="none"/>
          <w:lang w:eastAsia="zh-CN"/>
        </w:rPr>
        <w:t>益大</w:t>
      </w:r>
      <w:r>
        <w:rPr>
          <w:rFonts w:hint="eastAsia" w:ascii="宋体" w:hAnsi="宋体" w:eastAsia="宋体" w:cs="宋体"/>
          <w:sz w:val="24"/>
          <w:szCs w:val="24"/>
          <w:highlight w:val="none"/>
        </w:rPr>
        <w:t>赢得众多合作伙伴和员工的信赖。</w:t>
      </w:r>
    </w:p>
    <w:p>
      <w:pPr>
        <w:pStyle w:val="4"/>
        <w:spacing w:before="166" w:line="360" w:lineRule="auto"/>
        <w:ind w:right="359"/>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2、</w:t>
      </w:r>
      <w:r>
        <w:rPr>
          <w:rFonts w:hint="eastAsia" w:cs="宋体"/>
          <w:sz w:val="24"/>
          <w:szCs w:val="24"/>
          <w:lang w:eastAsia="zh-CN"/>
        </w:rPr>
        <w:t>求实</w:t>
      </w:r>
    </w:p>
    <w:p>
      <w:pPr>
        <w:pStyle w:val="4"/>
        <w:spacing w:before="166" w:line="360" w:lineRule="auto"/>
        <w:ind w:right="359" w:firstLine="480" w:firstLineChars="200"/>
        <w:jc w:val="both"/>
        <w:rPr>
          <w:rFonts w:hint="eastAsia"/>
          <w:highlight w:val="none"/>
        </w:rPr>
      </w:pPr>
      <w:r>
        <w:rPr>
          <w:rFonts w:hint="eastAsia"/>
          <w:highlight w:val="none"/>
        </w:rPr>
        <w:t>脚踏实地，言行一致。以“高标准、零缺陷”为追求，持续改进工作方法，提高作业品质。做事持之以恒，绝不半途而废。真抓实干，坚持目标导向和结果导向。靠专业优势和成果业绩赢得生存发展。</w:t>
      </w:r>
    </w:p>
    <w:p>
      <w:pPr>
        <w:pStyle w:val="4"/>
        <w:spacing w:before="166" w:line="360" w:lineRule="auto"/>
        <w:ind w:right="359"/>
        <w:jc w:val="both"/>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3、</w:t>
      </w:r>
      <w:r>
        <w:rPr>
          <w:rFonts w:hint="eastAsia" w:cs="宋体"/>
          <w:sz w:val="24"/>
          <w:szCs w:val="24"/>
          <w:lang w:eastAsia="zh-CN"/>
        </w:rPr>
        <w:t>开拓</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right="0" w:firstLine="480" w:firstLineChars="200"/>
        <w:jc w:val="left"/>
        <w:rPr>
          <w:rFonts w:hint="eastAsia" w:ascii="宋体" w:hAnsi="宋体" w:eastAsia="宋体" w:cs="宋体"/>
          <w:kern w:val="0"/>
          <w:sz w:val="24"/>
          <w:szCs w:val="24"/>
          <w:highlight w:val="none"/>
          <w:lang w:val="zh-CN" w:eastAsia="zh-CN" w:bidi="zh-CN"/>
        </w:rPr>
      </w:pPr>
      <w:r>
        <w:rPr>
          <w:rFonts w:hint="eastAsia" w:ascii="宋体" w:hAnsi="宋体" w:eastAsia="宋体" w:cs="宋体"/>
          <w:kern w:val="0"/>
          <w:sz w:val="24"/>
          <w:szCs w:val="24"/>
          <w:highlight w:val="none"/>
          <w:lang w:val="zh-CN" w:eastAsia="zh-CN" w:bidi="zh-CN"/>
        </w:rPr>
        <w:t>多实践，多动手，多思考，多总结。俗话说，实践出真知。这点对于刚</w:t>
      </w:r>
      <w:r>
        <w:rPr>
          <w:rFonts w:hint="eastAsia" w:ascii="宋体" w:hAnsi="宋体" w:eastAsia="宋体" w:cs="宋体"/>
          <w:kern w:val="0"/>
          <w:sz w:val="24"/>
          <w:szCs w:val="24"/>
          <w:highlight w:val="none"/>
          <w:lang w:val="en-US" w:eastAsia="zh-CN" w:bidi="zh-CN"/>
        </w:rPr>
        <w:t>入职</w:t>
      </w:r>
      <w:r>
        <w:rPr>
          <w:rFonts w:hint="eastAsia" w:ascii="宋体" w:hAnsi="宋体" w:eastAsia="宋体" w:cs="宋体"/>
          <w:kern w:val="0"/>
          <w:sz w:val="24"/>
          <w:szCs w:val="24"/>
          <w:highlight w:val="none"/>
          <w:lang w:val="zh-CN" w:eastAsia="zh-CN" w:bidi="zh-CN"/>
        </w:rPr>
        <w:t>的</w:t>
      </w:r>
      <w:r>
        <w:rPr>
          <w:rFonts w:hint="eastAsia" w:ascii="宋体" w:hAnsi="宋体" w:eastAsia="宋体" w:cs="宋体"/>
          <w:kern w:val="0"/>
          <w:sz w:val="24"/>
          <w:szCs w:val="24"/>
          <w:highlight w:val="none"/>
          <w:lang w:val="en-US" w:eastAsia="zh-CN" w:bidi="zh-CN"/>
        </w:rPr>
        <w:t>员工</w:t>
      </w:r>
      <w:r>
        <w:rPr>
          <w:rFonts w:hint="eastAsia" w:ascii="宋体" w:hAnsi="宋体" w:eastAsia="宋体" w:cs="宋体"/>
          <w:kern w:val="0"/>
          <w:sz w:val="24"/>
          <w:szCs w:val="24"/>
          <w:highlight w:val="none"/>
          <w:lang w:val="zh-CN" w:eastAsia="zh-CN" w:bidi="zh-CN"/>
        </w:rPr>
        <w:t>，经验不足，实践太少，很多专业方面的知识只是停留在理论上，通过多实践后，才能慢慢提高开拓创新能力。</w:t>
      </w:r>
    </w:p>
    <w:p>
      <w:pPr>
        <w:pStyle w:val="4"/>
        <w:spacing w:before="166" w:line="360" w:lineRule="auto"/>
        <w:ind w:right="359"/>
        <w:jc w:val="both"/>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4、</w:t>
      </w:r>
      <w:r>
        <w:rPr>
          <w:rFonts w:hint="eastAsia" w:cs="宋体"/>
          <w:sz w:val="24"/>
          <w:szCs w:val="24"/>
          <w:lang w:eastAsia="zh-CN"/>
        </w:rPr>
        <w:t>创新</w:t>
      </w:r>
    </w:p>
    <w:p>
      <w:pPr>
        <w:pStyle w:val="4"/>
        <w:spacing w:before="166" w:line="360" w:lineRule="auto"/>
        <w:ind w:right="359" w:firstLine="48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创新是企业持续发展的不竭动力源泉。在</w:t>
      </w:r>
      <w:r>
        <w:rPr>
          <w:rFonts w:hint="eastAsia" w:cs="宋体"/>
          <w:sz w:val="24"/>
          <w:szCs w:val="24"/>
          <w:highlight w:val="none"/>
          <w:lang w:val="en-US" w:eastAsia="zh-CN"/>
        </w:rPr>
        <w:t>十多</w:t>
      </w:r>
      <w:r>
        <w:rPr>
          <w:rFonts w:hint="eastAsia" w:ascii="宋体" w:hAnsi="宋体" w:eastAsia="宋体" w:cs="宋体"/>
          <w:sz w:val="24"/>
          <w:szCs w:val="24"/>
          <w:highlight w:val="none"/>
        </w:rPr>
        <w:t>年的发展历史中，我们可以清晰的看到公司不断创新的轨迹。从研发设计、机器换人，公司管理模式、经营发展，各各方面无不体现着公司一直在持续创新。</w:t>
      </w:r>
    </w:p>
    <w:p>
      <w:pPr>
        <w:pStyle w:val="4"/>
        <w:spacing w:before="166" w:line="360" w:lineRule="auto"/>
        <w:ind w:right="359"/>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2）企业文化理念的宣贯</w:t>
      </w:r>
    </w:p>
    <w:p>
      <w:pPr>
        <w:pStyle w:val="4"/>
        <w:spacing w:before="166" w:line="360" w:lineRule="auto"/>
        <w:ind w:right="359" w:firstLine="48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公司总经理非常注重企业文化建设，他相信“文化是最顶层，包括团队的方向，追求持续经营，要做顶级供应商就必须打造好企业文化”。</w:t>
      </w:r>
    </w:p>
    <w:p>
      <w:pPr>
        <w:pStyle w:val="4"/>
        <w:spacing w:before="166" w:line="360" w:lineRule="auto"/>
        <w:ind w:right="359" w:firstLine="480"/>
        <w:jc w:val="both"/>
        <w:rPr>
          <w:rFonts w:hint="eastAsia" w:ascii="宋体" w:hAnsi="宋体" w:eastAsia="宋体" w:cs="宋体"/>
          <w:sz w:val="24"/>
          <w:szCs w:val="24"/>
          <w:highlight w:val="none"/>
        </w:rPr>
      </w:pPr>
      <w:r>
        <w:rPr>
          <w:rFonts w:hint="eastAsia" w:ascii="宋体" w:hAnsi="宋体" w:eastAsia="宋体" w:cs="宋体"/>
          <w:sz w:val="24"/>
          <w:szCs w:val="24"/>
          <w:highlight w:val="none"/>
          <w:lang w:val="en-US" w:bidi="ar-SA"/>
        </w:rPr>
        <w:drawing>
          <wp:inline distT="0" distB="0" distL="114300" distR="114300">
            <wp:extent cx="4525645" cy="2484120"/>
            <wp:effectExtent l="0" t="0" r="0" b="5080"/>
            <wp:docPr id="24"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3"/>
                    <pic:cNvPicPr>
                      <a:picLocks noChangeAspect="1"/>
                    </pic:cNvPicPr>
                  </pic:nvPicPr>
                  <pic:blipFill>
                    <a:blip r:embed="rId7"/>
                    <a:stretch>
                      <a:fillRect/>
                    </a:stretch>
                  </pic:blipFill>
                  <pic:spPr>
                    <a:xfrm>
                      <a:off x="0" y="0"/>
                      <a:ext cx="4525645" cy="2484120"/>
                    </a:xfrm>
                    <a:prstGeom prst="rect">
                      <a:avLst/>
                    </a:prstGeom>
                    <a:noFill/>
                    <a:ln>
                      <a:noFill/>
                    </a:ln>
                  </pic:spPr>
                </pic:pic>
              </a:graphicData>
            </a:graphic>
          </wp:inline>
        </w:drawing>
      </w:r>
    </w:p>
    <w:p>
      <w:pPr>
        <w:pStyle w:val="4"/>
        <w:spacing w:before="166" w:line="360" w:lineRule="auto"/>
        <w:ind w:right="359" w:firstLine="48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图表</w:t>
      </w:r>
      <w:r>
        <w:rPr>
          <w:rFonts w:hint="eastAsia" w:ascii="宋体" w:hAnsi="宋体" w:eastAsia="宋体" w:cs="宋体"/>
          <w:sz w:val="24"/>
          <w:szCs w:val="24"/>
          <w:highlight w:val="none"/>
          <w:lang w:val="en-US"/>
        </w:rPr>
        <w:t>2</w:t>
      </w:r>
      <w:r>
        <w:rPr>
          <w:rFonts w:hint="eastAsia" w:ascii="宋体" w:hAnsi="宋体" w:eastAsia="宋体" w:cs="宋体"/>
          <w:sz w:val="24"/>
          <w:szCs w:val="24"/>
          <w:highlight w:val="none"/>
        </w:rPr>
        <w:t>.1-</w:t>
      </w: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SEQ 图表4.1- \* ARABIC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2</w:t>
      </w:r>
      <w:r>
        <w:rPr>
          <w:rFonts w:hint="eastAsia" w:ascii="宋体" w:hAnsi="宋体" w:eastAsia="宋体" w:cs="宋体"/>
          <w:sz w:val="24"/>
          <w:szCs w:val="24"/>
          <w:highlight w:val="none"/>
        </w:rPr>
        <w:fldChar w:fldCharType="end"/>
      </w:r>
      <w:r>
        <w:rPr>
          <w:rFonts w:hint="eastAsia" w:ascii="宋体" w:hAnsi="宋体" w:eastAsia="宋体" w:cs="宋体"/>
          <w:sz w:val="24"/>
          <w:szCs w:val="24"/>
          <w:highlight w:val="none"/>
        </w:rPr>
        <w:t xml:space="preserve"> 公司多渠道企业文化传播</w:t>
      </w:r>
    </w:p>
    <w:p>
      <w:pPr>
        <w:spacing w:line="360" w:lineRule="auto"/>
        <w:ind w:firstLine="480" w:firstLineChars="200"/>
        <w:rPr>
          <w:rFonts w:hint="default" w:ascii="宋体" w:hAnsi="宋体" w:eastAsia="宋体" w:cs="宋体"/>
          <w:color w:val="0000FF"/>
          <w:sz w:val="24"/>
          <w:szCs w:val="24"/>
          <w:highlight w:val="yellow"/>
          <w:lang w:val="en-US" w:eastAsia="zh-CN"/>
        </w:rPr>
      </w:pPr>
      <w:r>
        <w:rPr>
          <w:rFonts w:hint="eastAsia" w:ascii="宋体" w:hAnsi="宋体" w:eastAsia="宋体" w:cs="宋体"/>
          <w:sz w:val="24"/>
          <w:szCs w:val="24"/>
          <w:highlight w:val="none"/>
        </w:rPr>
        <w:t>总经理希望</w:t>
      </w:r>
      <w:r>
        <w:rPr>
          <w:rFonts w:hint="eastAsia" w:cs="宋体"/>
          <w:sz w:val="24"/>
          <w:szCs w:val="24"/>
          <w:highlight w:val="none"/>
          <w:lang w:eastAsia="zh-CN"/>
        </w:rPr>
        <w:t>益大</w:t>
      </w:r>
      <w:r>
        <w:rPr>
          <w:rFonts w:hint="eastAsia" w:ascii="宋体" w:hAnsi="宋体" w:eastAsia="宋体" w:cs="宋体"/>
          <w:sz w:val="24"/>
          <w:szCs w:val="24"/>
          <w:highlight w:val="none"/>
        </w:rPr>
        <w:t>优秀的企业文化能培养更多的优秀人才，继而以优秀的人才团队推动企业的快速发展，使</w:t>
      </w:r>
      <w:r>
        <w:rPr>
          <w:rFonts w:hint="eastAsia" w:cs="宋体"/>
          <w:sz w:val="24"/>
          <w:szCs w:val="24"/>
          <w:highlight w:val="none"/>
          <w:lang w:eastAsia="zh-CN"/>
        </w:rPr>
        <w:t>益大</w:t>
      </w:r>
      <w:r>
        <w:rPr>
          <w:rFonts w:hint="eastAsia" w:ascii="宋体" w:hAnsi="宋体" w:eastAsia="宋体" w:cs="宋体"/>
          <w:sz w:val="24"/>
          <w:szCs w:val="24"/>
          <w:highlight w:val="none"/>
        </w:rPr>
        <w:t>早日成为国内一流公司，早日达到既定目标，实现崇高理想。</w:t>
      </w:r>
      <w:r>
        <w:rPr>
          <w:rFonts w:ascii="宋体" w:hAnsi="宋体"/>
          <w:sz w:val="24"/>
        </w:rPr>
        <w:t>近几年来，公司</w:t>
      </w:r>
      <w:r>
        <w:rPr>
          <w:rFonts w:hint="eastAsia" w:ascii="宋体" w:hAnsi="宋体"/>
          <w:sz w:val="24"/>
        </w:rPr>
        <w:t>发</w:t>
      </w:r>
      <w:r>
        <w:rPr>
          <w:rFonts w:ascii="宋体" w:hAnsi="宋体"/>
          <w:sz w:val="24"/>
        </w:rPr>
        <w:t>展成</w:t>
      </w:r>
      <w:r>
        <w:rPr>
          <w:rFonts w:hint="eastAsia" w:ascii="宋体" w:hAnsi="宋体"/>
          <w:sz w:val="24"/>
        </w:rPr>
        <w:t>为</w:t>
      </w:r>
      <w:r>
        <w:rPr>
          <w:rFonts w:ascii="宋体" w:hAnsi="宋体"/>
          <w:sz w:val="24"/>
        </w:rPr>
        <w:t>公司所在地的</w:t>
      </w:r>
      <w:r>
        <w:rPr>
          <w:rFonts w:hint="eastAsia" w:ascii="宋体" w:hAnsi="宋体"/>
          <w:sz w:val="24"/>
        </w:rPr>
        <w:t>龙头</w:t>
      </w:r>
      <w:r>
        <w:rPr>
          <w:rFonts w:ascii="宋体" w:hAnsi="宋体"/>
          <w:sz w:val="24"/>
        </w:rPr>
        <w:t>企</w:t>
      </w:r>
      <w:r>
        <w:rPr>
          <w:rFonts w:hint="eastAsia" w:ascii="宋体" w:hAnsi="宋体"/>
          <w:sz w:val="24"/>
        </w:rPr>
        <w:t>业</w:t>
      </w:r>
      <w:r>
        <w:rPr>
          <w:rFonts w:ascii="宋体" w:hAnsi="宋体"/>
          <w:sz w:val="24"/>
        </w:rPr>
        <w:t>，</w:t>
      </w:r>
      <w:r>
        <w:rPr>
          <w:rFonts w:hint="eastAsia" w:ascii="宋体" w:hAnsi="宋体"/>
          <w:sz w:val="24"/>
        </w:rPr>
        <w:t>获</w:t>
      </w:r>
      <w:r>
        <w:rPr>
          <w:rFonts w:ascii="宋体" w:hAnsi="宋体"/>
          <w:sz w:val="24"/>
        </w:rPr>
        <w:t>得多</w:t>
      </w:r>
      <w:r>
        <w:rPr>
          <w:rFonts w:hint="eastAsia" w:ascii="宋体" w:hAnsi="宋体"/>
          <w:sz w:val="24"/>
        </w:rPr>
        <w:t>项</w:t>
      </w:r>
      <w:r>
        <w:rPr>
          <w:rFonts w:ascii="宋体" w:hAnsi="宋体"/>
          <w:sz w:val="24"/>
        </w:rPr>
        <w:t>荣誉。</w:t>
      </w:r>
      <w:r>
        <w:rPr>
          <w:rFonts w:hint="eastAsia" w:ascii="宋体" w:hAnsi="宋体"/>
          <w:sz w:val="24"/>
          <w:lang w:val="en-US" w:eastAsia="zh-CN"/>
        </w:rPr>
        <w:t>公司成立至今</w:t>
      </w:r>
      <w:r>
        <w:rPr>
          <w:rFonts w:hint="eastAsia"/>
          <w:sz w:val="24"/>
          <w:lang w:val="en-US" w:eastAsia="zh-CN"/>
        </w:rPr>
        <w:t>先后</w:t>
      </w:r>
      <w:r>
        <w:rPr>
          <w:rFonts w:hint="eastAsia" w:ascii="宋体" w:hAnsi="宋体"/>
          <w:sz w:val="24"/>
          <w:lang w:val="en-US" w:eastAsia="zh-CN"/>
        </w:rPr>
        <w:t>荣获</w:t>
      </w:r>
      <w:r>
        <w:rPr>
          <w:rFonts w:hint="eastAsia" w:ascii="宋体" w:hAnsi="宋体" w:eastAsia="宋体" w:cs="宋体"/>
          <w:sz w:val="24"/>
          <w:lang w:val="en-US" w:eastAsia="zh-CN"/>
        </w:rPr>
        <w:t>先后通过</w:t>
      </w:r>
      <w:r>
        <w:rPr>
          <w:rFonts w:hint="eastAsia" w:cs="宋体"/>
          <w:sz w:val="24"/>
          <w:lang w:val="en-US" w:eastAsia="zh-CN"/>
        </w:rPr>
        <w:t>GB/T19001-2016</w:t>
      </w:r>
      <w:r>
        <w:rPr>
          <w:rFonts w:hint="eastAsia" w:ascii="宋体" w:hAnsi="宋体" w:eastAsia="宋体" w:cs="宋体"/>
          <w:sz w:val="24"/>
          <w:lang w:val="en-US" w:eastAsia="zh-CN"/>
        </w:rPr>
        <w:t>质量管理体系、</w:t>
      </w:r>
      <w:r>
        <w:rPr>
          <w:rFonts w:hint="eastAsia" w:cs="宋体"/>
          <w:sz w:val="24"/>
          <w:lang w:val="en-US" w:eastAsia="zh-CN"/>
        </w:rPr>
        <w:t>GB/T24001-2016</w:t>
      </w:r>
      <w:r>
        <w:rPr>
          <w:rFonts w:hint="eastAsia" w:ascii="宋体" w:hAnsi="宋体" w:eastAsia="宋体" w:cs="宋体"/>
          <w:sz w:val="24"/>
          <w:lang w:val="en-US" w:eastAsia="zh-CN"/>
        </w:rPr>
        <w:t>环境管理体系、</w:t>
      </w:r>
      <w:r>
        <w:rPr>
          <w:rFonts w:hint="eastAsia" w:cs="宋体"/>
          <w:sz w:val="24"/>
          <w:lang w:val="en-US" w:eastAsia="zh-CN"/>
        </w:rPr>
        <w:t>GB/T45001-2020</w:t>
      </w:r>
      <w:r>
        <w:rPr>
          <w:rFonts w:hint="eastAsia" w:ascii="宋体" w:hAnsi="宋体" w:eastAsia="宋体" w:cs="宋体"/>
          <w:sz w:val="24"/>
          <w:lang w:val="en-US" w:eastAsia="zh-CN"/>
        </w:rPr>
        <w:t>职业健康安全管理体系认证，中华人民共和国特种设备</w:t>
      </w:r>
      <w:r>
        <w:rPr>
          <w:rFonts w:hint="eastAsia" w:cs="宋体"/>
          <w:sz w:val="24"/>
          <w:lang w:val="en-US" w:eastAsia="zh-CN"/>
        </w:rPr>
        <w:t>生产许可证</w:t>
      </w:r>
      <w:r>
        <w:rPr>
          <w:rFonts w:hint="eastAsia" w:ascii="宋体" w:hAnsi="宋体" w:eastAsia="宋体" w:cs="宋体"/>
          <w:color w:val="auto"/>
          <w:sz w:val="24"/>
          <w:lang w:val="en-US" w:eastAsia="zh-CN"/>
        </w:rPr>
        <w:t>等；</w:t>
      </w:r>
      <w:r>
        <w:rPr>
          <w:rFonts w:hint="eastAsia" w:ascii="宋体" w:hAnsi="宋体" w:eastAsia="宋体" w:cs="宋体"/>
          <w:color w:val="auto"/>
          <w:sz w:val="24"/>
          <w:lang w:val="en-US" w:eastAsia="zh-CN"/>
        </w:rPr>
        <w:t>在201</w:t>
      </w:r>
      <w:r>
        <w:rPr>
          <w:rFonts w:hint="eastAsia" w:cs="宋体"/>
          <w:color w:val="auto"/>
          <w:sz w:val="24"/>
          <w:lang w:val="en-US" w:eastAsia="zh-CN"/>
        </w:rPr>
        <w:t>7</w:t>
      </w:r>
      <w:r>
        <w:rPr>
          <w:rFonts w:hint="eastAsia" w:ascii="宋体" w:hAnsi="宋体" w:eastAsia="宋体" w:cs="宋体"/>
          <w:color w:val="auto"/>
          <w:sz w:val="24"/>
          <w:lang w:val="en-US" w:eastAsia="zh-CN"/>
        </w:rPr>
        <w:t>年被</w:t>
      </w:r>
      <w:r>
        <w:rPr>
          <w:rFonts w:hint="eastAsia" w:cs="宋体"/>
          <w:color w:val="auto"/>
          <w:sz w:val="24"/>
          <w:lang w:val="en-US" w:eastAsia="zh-CN"/>
        </w:rPr>
        <w:t>浙江省科学技术厅</w:t>
      </w:r>
      <w:r>
        <w:rPr>
          <w:rFonts w:hint="eastAsia" w:ascii="宋体" w:hAnsi="宋体" w:eastAsia="宋体" w:cs="宋体"/>
          <w:color w:val="auto"/>
          <w:sz w:val="24"/>
          <w:lang w:val="en-US" w:eastAsia="zh-CN"/>
        </w:rPr>
        <w:t>评为</w:t>
      </w:r>
      <w:r>
        <w:rPr>
          <w:rFonts w:hint="eastAsia" w:cs="宋体"/>
          <w:color w:val="auto"/>
          <w:sz w:val="24"/>
          <w:lang w:val="en-US" w:eastAsia="zh-CN"/>
        </w:rPr>
        <w:t>浙江省高成长科技型中小企业；</w:t>
      </w:r>
      <w:r>
        <w:rPr>
          <w:rFonts w:hint="eastAsia" w:ascii="宋体" w:hAnsi="宋体" w:eastAsia="宋体" w:cs="宋体"/>
          <w:color w:val="auto"/>
          <w:sz w:val="24"/>
          <w:lang w:val="en-US" w:eastAsia="zh-CN"/>
        </w:rPr>
        <w:t>201</w:t>
      </w:r>
      <w:r>
        <w:rPr>
          <w:rFonts w:hint="eastAsia" w:cs="宋体"/>
          <w:color w:val="auto"/>
          <w:sz w:val="24"/>
          <w:lang w:val="en-US" w:eastAsia="zh-CN"/>
        </w:rPr>
        <w:t>7</w:t>
      </w:r>
      <w:r>
        <w:rPr>
          <w:rFonts w:hint="eastAsia" w:ascii="宋体" w:hAnsi="宋体" w:eastAsia="宋体" w:cs="宋体"/>
          <w:color w:val="auto"/>
          <w:sz w:val="24"/>
          <w:lang w:val="en-US" w:eastAsia="zh-CN"/>
        </w:rPr>
        <w:t>年被</w:t>
      </w:r>
      <w:r>
        <w:rPr>
          <w:rFonts w:hint="eastAsia" w:cs="宋体"/>
          <w:color w:val="auto"/>
          <w:sz w:val="24"/>
          <w:lang w:val="en-US" w:eastAsia="zh-CN"/>
        </w:rPr>
        <w:t>松阳县人民政府</w:t>
      </w:r>
      <w:r>
        <w:rPr>
          <w:rFonts w:hint="eastAsia" w:ascii="宋体" w:hAnsi="宋体" w:eastAsia="宋体" w:cs="宋体"/>
          <w:color w:val="auto"/>
          <w:sz w:val="24"/>
          <w:lang w:val="en-US" w:eastAsia="zh-CN"/>
        </w:rPr>
        <w:t>评为</w:t>
      </w:r>
      <w:r>
        <w:rPr>
          <w:rFonts w:hint="eastAsia" w:cs="宋体"/>
          <w:color w:val="auto"/>
          <w:sz w:val="24"/>
          <w:lang w:val="en-US" w:eastAsia="zh-CN"/>
        </w:rPr>
        <w:t>20强工业企业</w:t>
      </w:r>
      <w:r>
        <w:rPr>
          <w:rFonts w:hint="eastAsia" w:ascii="宋体" w:hAnsi="宋体" w:eastAsia="宋体" w:cs="宋体"/>
          <w:color w:val="auto"/>
          <w:sz w:val="24"/>
          <w:lang w:val="en-US" w:eastAsia="zh-CN"/>
        </w:rPr>
        <w:t>；在201</w:t>
      </w:r>
      <w:r>
        <w:rPr>
          <w:rFonts w:hint="eastAsia" w:cs="宋体"/>
          <w:color w:val="auto"/>
          <w:sz w:val="24"/>
          <w:lang w:val="en-US" w:eastAsia="zh-CN"/>
        </w:rPr>
        <w:t>8</w:t>
      </w:r>
      <w:r>
        <w:rPr>
          <w:rFonts w:hint="eastAsia" w:ascii="宋体" w:hAnsi="宋体" w:eastAsia="宋体" w:cs="宋体"/>
          <w:color w:val="auto"/>
          <w:sz w:val="24"/>
          <w:lang w:val="en-US" w:eastAsia="zh-CN"/>
        </w:rPr>
        <w:t>年</w:t>
      </w:r>
      <w:r>
        <w:rPr>
          <w:rFonts w:hint="eastAsia"/>
          <w:color w:val="auto"/>
          <w:sz w:val="24"/>
          <w:lang w:val="en-US" w:eastAsia="zh-CN"/>
        </w:rPr>
        <w:t>被国家安全生产监督管理总局监制评为安全生产标准化三级企业（机械）；</w:t>
      </w:r>
      <w:r>
        <w:rPr>
          <w:rFonts w:hint="eastAsia" w:ascii="宋体" w:hAnsi="宋体"/>
          <w:color w:val="auto"/>
          <w:sz w:val="24"/>
          <w:lang w:val="en-US" w:eastAsia="zh-CN"/>
        </w:rPr>
        <w:t>在2018年成为</w:t>
      </w:r>
      <w:r>
        <w:rPr>
          <w:rFonts w:hint="eastAsia"/>
          <w:color w:val="auto"/>
          <w:sz w:val="24"/>
          <w:lang w:val="en-US" w:eastAsia="zh-CN"/>
        </w:rPr>
        <w:t>松阳温州商会</w:t>
      </w:r>
      <w:r>
        <w:rPr>
          <w:rFonts w:hint="eastAsia" w:ascii="宋体" w:hAnsi="宋体"/>
          <w:color w:val="auto"/>
          <w:sz w:val="24"/>
          <w:lang w:val="en-US" w:eastAsia="zh-CN"/>
        </w:rPr>
        <w:t>副会长单位；</w:t>
      </w:r>
      <w:r>
        <w:rPr>
          <w:rFonts w:hint="eastAsia"/>
          <w:color w:val="auto"/>
          <w:sz w:val="24"/>
          <w:lang w:val="en-US" w:eastAsia="zh-CN"/>
        </w:rPr>
        <w:t>2019</w:t>
      </w:r>
      <w:r>
        <w:rPr>
          <w:rFonts w:hint="eastAsia" w:ascii="宋体" w:hAnsi="宋体"/>
          <w:color w:val="auto"/>
          <w:sz w:val="24"/>
          <w:lang w:val="en-US" w:eastAsia="zh-CN"/>
        </w:rPr>
        <w:t>年</w:t>
      </w:r>
      <w:r>
        <w:rPr>
          <w:rFonts w:hint="eastAsia"/>
          <w:color w:val="auto"/>
          <w:sz w:val="24"/>
          <w:lang w:val="en-US" w:eastAsia="zh-CN"/>
        </w:rPr>
        <w:t>被丽水生态产业集聚区松阳分区管理委员会评为先进单位</w:t>
      </w:r>
      <w:r>
        <w:rPr>
          <w:rFonts w:hint="eastAsia" w:ascii="宋体" w:hAnsi="宋体"/>
          <w:color w:val="auto"/>
          <w:sz w:val="24"/>
          <w:lang w:val="en-US" w:eastAsia="zh-CN"/>
        </w:rPr>
        <w:t>；202</w:t>
      </w:r>
      <w:r>
        <w:rPr>
          <w:rFonts w:hint="eastAsia"/>
          <w:color w:val="auto"/>
          <w:sz w:val="24"/>
          <w:lang w:val="en-US" w:eastAsia="zh-CN"/>
        </w:rPr>
        <w:t>0</w:t>
      </w:r>
      <w:r>
        <w:rPr>
          <w:rFonts w:hint="eastAsia" w:ascii="宋体" w:hAnsi="宋体"/>
          <w:color w:val="auto"/>
          <w:sz w:val="24"/>
          <w:lang w:val="en-US" w:eastAsia="zh-CN"/>
        </w:rPr>
        <w:t>年</w:t>
      </w:r>
      <w:r>
        <w:rPr>
          <w:rFonts w:hint="eastAsia"/>
          <w:color w:val="auto"/>
          <w:sz w:val="24"/>
          <w:lang w:val="en-US" w:eastAsia="zh-CN"/>
        </w:rPr>
        <w:t>获得高新技术企业。</w:t>
      </w:r>
    </w:p>
    <w:p>
      <w:pPr>
        <w:pStyle w:val="4"/>
        <w:spacing w:before="166" w:line="360" w:lineRule="auto"/>
        <w:ind w:right="359" w:firstLine="48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图表</w:t>
      </w:r>
      <w:r>
        <w:rPr>
          <w:rFonts w:hint="eastAsia" w:ascii="宋体" w:hAnsi="宋体" w:eastAsia="宋体" w:cs="宋体"/>
          <w:sz w:val="24"/>
          <w:szCs w:val="24"/>
          <w:highlight w:val="none"/>
          <w:lang w:val="en-US"/>
        </w:rPr>
        <w:t>2</w:t>
      </w:r>
      <w:r>
        <w:rPr>
          <w:rFonts w:hint="eastAsia" w:ascii="宋体" w:hAnsi="宋体" w:eastAsia="宋体" w:cs="宋体"/>
          <w:sz w:val="24"/>
          <w:szCs w:val="24"/>
          <w:highlight w:val="none"/>
        </w:rPr>
        <w:t>.1-</w:t>
      </w: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SEQ 图表4.1- \* ARABIC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3</w:t>
      </w:r>
      <w:r>
        <w:rPr>
          <w:rFonts w:hint="eastAsia" w:ascii="宋体" w:hAnsi="宋体" w:eastAsia="宋体" w:cs="宋体"/>
          <w:sz w:val="24"/>
          <w:szCs w:val="24"/>
          <w:highlight w:val="none"/>
        </w:rPr>
        <w:fldChar w:fldCharType="end"/>
      </w:r>
      <w:r>
        <w:rPr>
          <w:rFonts w:hint="eastAsia" w:ascii="宋体" w:hAnsi="宋体" w:eastAsia="宋体" w:cs="宋体"/>
          <w:sz w:val="24"/>
          <w:szCs w:val="24"/>
          <w:highlight w:val="none"/>
        </w:rPr>
        <w:t xml:space="preserve"> 企业文化宣传一览表</w:t>
      </w:r>
    </w:p>
    <w:tbl>
      <w:tblPr>
        <w:tblStyle w:val="11"/>
        <w:tblW w:w="900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38"/>
        <w:gridCol w:w="524"/>
        <w:gridCol w:w="1840"/>
        <w:gridCol w:w="2269"/>
        <w:gridCol w:w="1721"/>
        <w:gridCol w:w="22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blHeader/>
          <w:jc w:val="center"/>
        </w:trPr>
        <w:tc>
          <w:tcPr>
            <w:tcW w:w="962" w:type="dxa"/>
            <w:gridSpan w:val="2"/>
            <w:tcBorders>
              <w:top w:val="single" w:color="000000" w:sz="4" w:space="0"/>
              <w:left w:val="single" w:color="000000" w:sz="4" w:space="0"/>
              <w:bottom w:val="single" w:color="000000" w:sz="4" w:space="0"/>
              <w:right w:val="single" w:color="000000" w:sz="4" w:space="0"/>
            </w:tcBorders>
            <w:shd w:val="clear" w:color="auto" w:fill="548DD4" w:themeFill="text2" w:themeFillTint="99"/>
            <w:vAlign w:val="center"/>
          </w:tcPr>
          <w:p>
            <w:pPr>
              <w:snapToGrid w:val="0"/>
              <w:spacing w:line="360" w:lineRule="auto"/>
              <w:jc w:val="center"/>
              <w:rPr>
                <w:rFonts w:hint="eastAsia" w:ascii="宋体" w:hAnsi="宋体" w:eastAsia="宋体" w:cs="宋体"/>
                <w:b/>
                <w:sz w:val="24"/>
                <w:szCs w:val="24"/>
                <w:highlight w:val="none"/>
              </w:rPr>
            </w:pPr>
            <w:r>
              <w:rPr>
                <w:rFonts w:hint="eastAsia" w:ascii="宋体" w:hAnsi="宋体" w:eastAsia="宋体" w:cs="宋体"/>
                <w:b/>
                <w:sz w:val="24"/>
                <w:szCs w:val="24"/>
                <w:highlight w:val="none"/>
              </w:rPr>
              <w:t>对象</w:t>
            </w:r>
          </w:p>
        </w:tc>
        <w:tc>
          <w:tcPr>
            <w:tcW w:w="1840" w:type="dxa"/>
            <w:tcBorders>
              <w:top w:val="single" w:color="000000" w:sz="4" w:space="0"/>
              <w:left w:val="single" w:color="000000" w:sz="4" w:space="0"/>
              <w:bottom w:val="single" w:color="000000" w:sz="4" w:space="0"/>
              <w:right w:val="single" w:color="000000" w:sz="4" w:space="0"/>
            </w:tcBorders>
            <w:shd w:val="clear" w:color="auto" w:fill="548DD4" w:themeFill="text2" w:themeFillTint="99"/>
            <w:vAlign w:val="center"/>
          </w:tcPr>
          <w:p>
            <w:pPr>
              <w:snapToGrid w:val="0"/>
              <w:spacing w:line="360" w:lineRule="auto"/>
              <w:jc w:val="center"/>
              <w:rPr>
                <w:rFonts w:hint="eastAsia" w:ascii="宋体" w:hAnsi="宋体" w:eastAsia="宋体" w:cs="宋体"/>
                <w:b/>
                <w:sz w:val="24"/>
                <w:szCs w:val="24"/>
                <w:highlight w:val="none"/>
              </w:rPr>
            </w:pPr>
            <w:r>
              <w:rPr>
                <w:rFonts w:hint="eastAsia" w:ascii="宋体" w:hAnsi="宋体" w:eastAsia="宋体" w:cs="宋体"/>
                <w:b/>
                <w:sz w:val="24"/>
                <w:szCs w:val="24"/>
                <w:highlight w:val="none"/>
              </w:rPr>
              <w:t>宣传渠道</w:t>
            </w:r>
          </w:p>
        </w:tc>
        <w:tc>
          <w:tcPr>
            <w:tcW w:w="2269" w:type="dxa"/>
            <w:tcBorders>
              <w:top w:val="single" w:color="000000" w:sz="4" w:space="0"/>
              <w:left w:val="single" w:color="000000" w:sz="4" w:space="0"/>
              <w:bottom w:val="single" w:color="000000" w:sz="4" w:space="0"/>
              <w:right w:val="single" w:color="000000" w:sz="4" w:space="0"/>
            </w:tcBorders>
            <w:shd w:val="clear" w:color="auto" w:fill="548DD4" w:themeFill="text2" w:themeFillTint="99"/>
            <w:vAlign w:val="center"/>
          </w:tcPr>
          <w:p>
            <w:pPr>
              <w:snapToGrid w:val="0"/>
              <w:spacing w:line="360" w:lineRule="auto"/>
              <w:jc w:val="center"/>
              <w:rPr>
                <w:rFonts w:hint="eastAsia" w:ascii="宋体" w:hAnsi="宋体" w:eastAsia="宋体" w:cs="宋体"/>
                <w:b/>
                <w:sz w:val="24"/>
                <w:szCs w:val="24"/>
                <w:highlight w:val="none"/>
              </w:rPr>
            </w:pPr>
            <w:r>
              <w:rPr>
                <w:rFonts w:hint="eastAsia" w:ascii="宋体" w:hAnsi="宋体" w:eastAsia="宋体" w:cs="宋体"/>
                <w:b/>
                <w:sz w:val="24"/>
                <w:szCs w:val="24"/>
                <w:highlight w:val="none"/>
              </w:rPr>
              <w:t>宣传内容</w:t>
            </w:r>
          </w:p>
        </w:tc>
        <w:tc>
          <w:tcPr>
            <w:tcW w:w="1721" w:type="dxa"/>
            <w:tcBorders>
              <w:top w:val="single" w:color="000000" w:sz="4" w:space="0"/>
              <w:left w:val="single" w:color="000000" w:sz="4" w:space="0"/>
              <w:bottom w:val="single" w:color="000000" w:sz="4" w:space="0"/>
              <w:right w:val="single" w:color="000000" w:sz="4" w:space="0"/>
            </w:tcBorders>
            <w:shd w:val="clear" w:color="auto" w:fill="548DD4" w:themeFill="text2" w:themeFillTint="99"/>
            <w:vAlign w:val="center"/>
          </w:tcPr>
          <w:p>
            <w:pPr>
              <w:snapToGrid w:val="0"/>
              <w:spacing w:line="360" w:lineRule="auto"/>
              <w:jc w:val="center"/>
              <w:rPr>
                <w:rFonts w:hint="eastAsia" w:ascii="宋体" w:hAnsi="宋体" w:eastAsia="宋体" w:cs="宋体"/>
                <w:b/>
                <w:sz w:val="24"/>
                <w:szCs w:val="24"/>
                <w:highlight w:val="none"/>
              </w:rPr>
            </w:pPr>
            <w:r>
              <w:rPr>
                <w:rFonts w:hint="eastAsia" w:ascii="宋体" w:hAnsi="宋体" w:eastAsia="宋体" w:cs="宋体"/>
                <w:b/>
                <w:sz w:val="24"/>
                <w:szCs w:val="24"/>
                <w:highlight w:val="none"/>
              </w:rPr>
              <w:t>效果</w:t>
            </w:r>
          </w:p>
        </w:tc>
        <w:tc>
          <w:tcPr>
            <w:tcW w:w="2211" w:type="dxa"/>
            <w:tcBorders>
              <w:top w:val="single" w:color="000000" w:sz="4" w:space="0"/>
              <w:left w:val="single" w:color="000000" w:sz="4" w:space="0"/>
              <w:bottom w:val="single" w:color="000000" w:sz="4" w:space="0"/>
              <w:right w:val="single" w:color="000000" w:sz="4" w:space="0"/>
            </w:tcBorders>
            <w:shd w:val="clear" w:color="auto" w:fill="548DD4" w:themeFill="text2" w:themeFillTint="99"/>
            <w:vAlign w:val="center"/>
          </w:tcPr>
          <w:p>
            <w:pPr>
              <w:snapToGrid w:val="0"/>
              <w:spacing w:line="360" w:lineRule="auto"/>
              <w:jc w:val="center"/>
              <w:rPr>
                <w:rFonts w:hint="eastAsia" w:ascii="宋体" w:hAnsi="宋体" w:eastAsia="宋体" w:cs="宋体"/>
                <w:b/>
                <w:sz w:val="24"/>
                <w:szCs w:val="24"/>
                <w:highlight w:val="none"/>
              </w:rPr>
            </w:pPr>
            <w:r>
              <w:rPr>
                <w:rFonts w:hint="eastAsia" w:ascii="宋体" w:hAnsi="宋体" w:eastAsia="宋体" w:cs="宋体"/>
                <w:b/>
                <w:sz w:val="24"/>
                <w:szCs w:val="24"/>
                <w:highlight w:val="none"/>
              </w:rPr>
              <w:t>评价机制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38" w:type="dxa"/>
            <w:tcBorders>
              <w:top w:val="single" w:color="000000" w:sz="4" w:space="0"/>
              <w:left w:val="single" w:color="000000" w:sz="4" w:space="0"/>
              <w:bottom w:val="single" w:color="000000" w:sz="4" w:space="0"/>
              <w:right w:val="single" w:color="auto" w:sz="4" w:space="0"/>
            </w:tcBorders>
            <w:shd w:val="clear" w:color="auto" w:fill="F2F2F2"/>
            <w:vAlign w:val="center"/>
          </w:tcPr>
          <w:p>
            <w:pPr>
              <w:snapToGrid w:val="0"/>
              <w:spacing w:line="24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内部</w:t>
            </w:r>
          </w:p>
        </w:tc>
        <w:tc>
          <w:tcPr>
            <w:tcW w:w="524" w:type="dxa"/>
            <w:tcBorders>
              <w:top w:val="single" w:color="000000" w:sz="4" w:space="0"/>
              <w:left w:val="single" w:color="auto" w:sz="4" w:space="0"/>
              <w:bottom w:val="single" w:color="000000" w:sz="4" w:space="0"/>
              <w:right w:val="single" w:color="000000" w:sz="4" w:space="0"/>
            </w:tcBorders>
            <w:shd w:val="clear" w:color="auto" w:fill="F2F2F2"/>
            <w:vAlign w:val="center"/>
          </w:tcPr>
          <w:p>
            <w:pPr>
              <w:snapToGrid w:val="0"/>
              <w:spacing w:line="24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员工</w:t>
            </w:r>
          </w:p>
        </w:tc>
        <w:tc>
          <w:tcPr>
            <w:tcW w:w="1840" w:type="dxa"/>
            <w:tcBorders>
              <w:top w:val="single" w:color="000000" w:sz="4" w:space="0"/>
              <w:left w:val="single" w:color="000000" w:sz="4" w:space="0"/>
              <w:right w:val="single" w:color="000000" w:sz="4" w:space="0"/>
            </w:tcBorders>
            <w:shd w:val="clear" w:color="auto" w:fill="F2F2F2"/>
            <w:vAlign w:val="center"/>
          </w:tcPr>
          <w:p>
            <w:pPr>
              <w:snapToGrid w:val="0"/>
              <w:spacing w:line="24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通讯平台、微信公众平台、官网、年会、培训、优秀文化案例等</w:t>
            </w:r>
          </w:p>
        </w:tc>
        <w:tc>
          <w:tcPr>
            <w:tcW w:w="2269" w:type="dxa"/>
            <w:tcBorders>
              <w:top w:val="single" w:color="000000" w:sz="4" w:space="0"/>
              <w:left w:val="single" w:color="000000" w:sz="4" w:space="0"/>
              <w:right w:val="single" w:color="000000" w:sz="4" w:space="0"/>
            </w:tcBorders>
            <w:shd w:val="clear" w:color="auto" w:fill="F2F2F2"/>
            <w:vAlign w:val="center"/>
          </w:tcPr>
          <w:p>
            <w:pPr>
              <w:snapToGrid w:val="0"/>
              <w:spacing w:line="24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文化制度、活动展示、优秀文化案例、优秀员工事迹、高层讲文化与自身创业故事</w:t>
            </w:r>
          </w:p>
        </w:tc>
        <w:tc>
          <w:tcPr>
            <w:tcW w:w="1721" w:type="dxa"/>
            <w:tcBorders>
              <w:top w:val="single" w:color="000000" w:sz="4" w:space="0"/>
              <w:left w:val="single" w:color="000000" w:sz="4" w:space="0"/>
              <w:bottom w:val="single" w:color="000000" w:sz="4" w:space="0"/>
              <w:right w:val="single" w:color="000000" w:sz="4" w:space="0"/>
            </w:tcBorders>
            <w:shd w:val="clear" w:color="auto" w:fill="F2F2F2"/>
            <w:vAlign w:val="center"/>
          </w:tcPr>
          <w:p>
            <w:pPr>
              <w:snapToGrid w:val="0"/>
              <w:spacing w:line="24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提高员工企业文化认知度、认同度、满意度</w:t>
            </w:r>
          </w:p>
        </w:tc>
        <w:tc>
          <w:tcPr>
            <w:tcW w:w="2211" w:type="dxa"/>
            <w:tcBorders>
              <w:top w:val="single" w:color="000000" w:sz="4" w:space="0"/>
              <w:left w:val="single" w:color="000000" w:sz="4" w:space="0"/>
              <w:bottom w:val="single" w:color="000000" w:sz="4" w:space="0"/>
              <w:right w:val="single" w:color="000000" w:sz="4" w:space="0"/>
            </w:tcBorders>
            <w:shd w:val="clear" w:color="auto" w:fill="F2F2F2"/>
            <w:vAlign w:val="center"/>
          </w:tcPr>
          <w:p>
            <w:pPr>
              <w:snapToGrid w:val="0"/>
              <w:spacing w:line="24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员工满意度调查、</w:t>
            </w:r>
            <w:r>
              <w:rPr>
                <w:rFonts w:hint="eastAsia" w:ascii="宋体" w:hAnsi="宋体" w:eastAsia="宋体" w:cs="宋体"/>
                <w:sz w:val="24"/>
                <w:szCs w:val="24"/>
                <w:highlight w:val="none"/>
                <w:lang w:val="en-US"/>
              </w:rPr>
              <w:t>优秀</w:t>
            </w:r>
            <w:r>
              <w:rPr>
                <w:rFonts w:hint="eastAsia" w:ascii="宋体" w:hAnsi="宋体" w:eastAsia="宋体" w:cs="宋体"/>
                <w:sz w:val="24"/>
                <w:szCs w:val="24"/>
                <w:highlight w:val="none"/>
              </w:rPr>
              <w:t>员工等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38" w:type="dxa"/>
            <w:vMerge w:val="restart"/>
            <w:tcBorders>
              <w:top w:val="single" w:color="000000" w:sz="4" w:space="0"/>
              <w:left w:val="single" w:color="000000" w:sz="4" w:space="0"/>
              <w:bottom w:val="single" w:color="000000" w:sz="4" w:space="0"/>
              <w:right w:val="single" w:color="auto" w:sz="4" w:space="0"/>
            </w:tcBorders>
            <w:shd w:val="clear" w:color="auto" w:fill="F2F2F2"/>
            <w:vAlign w:val="center"/>
          </w:tcPr>
          <w:p>
            <w:pPr>
              <w:snapToGrid w:val="0"/>
              <w:spacing w:line="24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外部</w:t>
            </w:r>
          </w:p>
        </w:tc>
        <w:tc>
          <w:tcPr>
            <w:tcW w:w="524" w:type="dxa"/>
            <w:tcBorders>
              <w:top w:val="single" w:color="000000" w:sz="4" w:space="0"/>
              <w:left w:val="single" w:color="auto" w:sz="4" w:space="0"/>
              <w:bottom w:val="single" w:color="000000" w:sz="4" w:space="0"/>
              <w:right w:val="single" w:color="000000" w:sz="4" w:space="0"/>
            </w:tcBorders>
            <w:shd w:val="clear" w:color="auto" w:fill="F2F2F2"/>
            <w:vAlign w:val="center"/>
          </w:tcPr>
          <w:p>
            <w:pPr>
              <w:snapToGrid w:val="0"/>
              <w:spacing w:line="24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顾客</w:t>
            </w:r>
          </w:p>
        </w:tc>
        <w:tc>
          <w:tcPr>
            <w:tcW w:w="1840" w:type="dxa"/>
            <w:tcBorders>
              <w:top w:val="single" w:color="000000" w:sz="4" w:space="0"/>
              <w:left w:val="single" w:color="000000" w:sz="4" w:space="0"/>
              <w:right w:val="single" w:color="000000" w:sz="4" w:space="0"/>
            </w:tcBorders>
            <w:shd w:val="clear" w:color="auto" w:fill="F2F2F2"/>
            <w:vAlign w:val="center"/>
          </w:tcPr>
          <w:p>
            <w:pPr>
              <w:snapToGrid w:val="0"/>
              <w:spacing w:line="24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展示厅、文化墙、文化案例传播、员工培训等</w:t>
            </w:r>
          </w:p>
        </w:tc>
        <w:tc>
          <w:tcPr>
            <w:tcW w:w="2269" w:type="dxa"/>
            <w:tcBorders>
              <w:top w:val="single" w:color="000000" w:sz="4" w:space="0"/>
              <w:left w:val="single" w:color="000000" w:sz="4" w:space="0"/>
              <w:right w:val="single" w:color="000000" w:sz="4" w:space="0"/>
            </w:tcBorders>
            <w:shd w:val="clear" w:color="auto" w:fill="F2F2F2"/>
            <w:vAlign w:val="center"/>
          </w:tcPr>
          <w:p>
            <w:pPr>
              <w:snapToGrid w:val="0"/>
              <w:spacing w:line="24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文化动态、优秀文化案例、文化讲解、成果展示</w:t>
            </w:r>
          </w:p>
        </w:tc>
        <w:tc>
          <w:tcPr>
            <w:tcW w:w="1721" w:type="dxa"/>
            <w:tcBorders>
              <w:top w:val="single" w:color="000000" w:sz="4" w:space="0"/>
              <w:left w:val="single" w:color="000000" w:sz="4" w:space="0"/>
              <w:bottom w:val="single" w:color="000000" w:sz="4" w:space="0"/>
              <w:right w:val="single" w:color="000000" w:sz="4" w:space="0"/>
            </w:tcBorders>
            <w:shd w:val="clear" w:color="auto" w:fill="F2F2F2"/>
            <w:vAlign w:val="center"/>
          </w:tcPr>
          <w:p>
            <w:pPr>
              <w:snapToGrid w:val="0"/>
              <w:spacing w:line="24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提高客户公司文化认同度</w:t>
            </w:r>
          </w:p>
        </w:tc>
        <w:tc>
          <w:tcPr>
            <w:tcW w:w="2211" w:type="dxa"/>
            <w:tcBorders>
              <w:top w:val="single" w:color="000000" w:sz="4" w:space="0"/>
              <w:left w:val="single" w:color="000000" w:sz="4" w:space="0"/>
              <w:bottom w:val="single" w:color="000000" w:sz="4" w:space="0"/>
              <w:right w:val="single" w:color="000000" w:sz="4" w:space="0"/>
            </w:tcBorders>
            <w:shd w:val="clear" w:color="auto" w:fill="F2F2F2"/>
            <w:vAlign w:val="center"/>
          </w:tcPr>
          <w:p>
            <w:pPr>
              <w:snapToGrid w:val="0"/>
              <w:spacing w:line="24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满意度调查、企业文化认同等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38" w:type="dxa"/>
            <w:vMerge w:val="continue"/>
            <w:tcBorders>
              <w:top w:val="single" w:color="000000" w:sz="4" w:space="0"/>
              <w:left w:val="single" w:color="000000" w:sz="4" w:space="0"/>
              <w:bottom w:val="single" w:color="000000" w:sz="4" w:space="0"/>
              <w:right w:val="single" w:color="auto" w:sz="4" w:space="0"/>
            </w:tcBorders>
            <w:shd w:val="clear" w:color="auto" w:fill="F2F2F2"/>
            <w:vAlign w:val="center"/>
          </w:tcPr>
          <w:p>
            <w:pPr>
              <w:snapToGrid w:val="0"/>
              <w:spacing w:line="240" w:lineRule="auto"/>
              <w:rPr>
                <w:rFonts w:hint="eastAsia" w:ascii="宋体" w:hAnsi="宋体" w:eastAsia="宋体" w:cs="宋体"/>
                <w:sz w:val="24"/>
                <w:szCs w:val="24"/>
                <w:highlight w:val="none"/>
              </w:rPr>
            </w:pPr>
          </w:p>
        </w:tc>
        <w:tc>
          <w:tcPr>
            <w:tcW w:w="524" w:type="dxa"/>
            <w:tcBorders>
              <w:top w:val="single" w:color="000000" w:sz="4" w:space="0"/>
              <w:left w:val="single" w:color="auto" w:sz="4" w:space="0"/>
              <w:bottom w:val="single" w:color="000000" w:sz="4" w:space="0"/>
              <w:right w:val="single" w:color="000000" w:sz="4" w:space="0"/>
            </w:tcBorders>
            <w:shd w:val="clear" w:color="auto" w:fill="F2F2F2"/>
            <w:vAlign w:val="center"/>
          </w:tcPr>
          <w:p>
            <w:pPr>
              <w:snapToGrid w:val="0"/>
              <w:spacing w:line="24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供方</w:t>
            </w:r>
          </w:p>
        </w:tc>
        <w:tc>
          <w:tcPr>
            <w:tcW w:w="1840" w:type="dxa"/>
            <w:tcBorders>
              <w:top w:val="single" w:color="000000" w:sz="4" w:space="0"/>
              <w:left w:val="single" w:color="000000" w:sz="4" w:space="0"/>
              <w:bottom w:val="single" w:color="000000" w:sz="4" w:space="0"/>
              <w:right w:val="single" w:color="000000" w:sz="4" w:space="0"/>
            </w:tcBorders>
            <w:shd w:val="clear" w:color="auto" w:fill="F2F2F2"/>
            <w:vAlign w:val="center"/>
          </w:tcPr>
          <w:p>
            <w:pPr>
              <w:snapToGrid w:val="0"/>
              <w:spacing w:line="24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微信公众号、供应商会、官网等</w:t>
            </w:r>
          </w:p>
        </w:tc>
        <w:tc>
          <w:tcPr>
            <w:tcW w:w="2269" w:type="dxa"/>
            <w:tcBorders>
              <w:top w:val="single" w:color="000000" w:sz="4" w:space="0"/>
              <w:left w:val="single" w:color="000000" w:sz="4" w:space="0"/>
              <w:bottom w:val="single" w:color="000000" w:sz="4" w:space="0"/>
              <w:right w:val="single" w:color="000000" w:sz="4" w:space="0"/>
            </w:tcBorders>
            <w:shd w:val="clear" w:color="auto" w:fill="F2F2F2"/>
            <w:vAlign w:val="center"/>
          </w:tcPr>
          <w:p>
            <w:pPr>
              <w:snapToGrid w:val="0"/>
              <w:spacing w:line="24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质量文化、效率文化</w:t>
            </w:r>
          </w:p>
        </w:tc>
        <w:tc>
          <w:tcPr>
            <w:tcW w:w="1721" w:type="dxa"/>
            <w:tcBorders>
              <w:top w:val="single" w:color="000000" w:sz="4" w:space="0"/>
              <w:left w:val="single" w:color="000000" w:sz="4" w:space="0"/>
              <w:bottom w:val="single" w:color="000000" w:sz="4" w:space="0"/>
              <w:right w:val="single" w:color="000000" w:sz="4" w:space="0"/>
            </w:tcBorders>
            <w:shd w:val="clear" w:color="auto" w:fill="F2F2F2"/>
            <w:vAlign w:val="center"/>
          </w:tcPr>
          <w:p>
            <w:pPr>
              <w:snapToGrid w:val="0"/>
              <w:spacing w:line="24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质量承诺书的签订 </w:t>
            </w:r>
          </w:p>
        </w:tc>
        <w:tc>
          <w:tcPr>
            <w:tcW w:w="2211" w:type="dxa"/>
            <w:tcBorders>
              <w:top w:val="single" w:color="000000" w:sz="4" w:space="0"/>
              <w:left w:val="single" w:color="000000" w:sz="4" w:space="0"/>
              <w:bottom w:val="single" w:color="000000" w:sz="4" w:space="0"/>
              <w:right w:val="single" w:color="000000" w:sz="4" w:space="0"/>
            </w:tcBorders>
            <w:shd w:val="clear" w:color="auto" w:fill="F2F2F2"/>
            <w:vAlign w:val="center"/>
          </w:tcPr>
          <w:p>
            <w:pPr>
              <w:snapToGrid w:val="0"/>
              <w:spacing w:line="24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提高交付效率和质量、文化落地情况和效果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38" w:type="dxa"/>
            <w:vMerge w:val="continue"/>
            <w:tcBorders>
              <w:top w:val="single" w:color="000000" w:sz="4" w:space="0"/>
              <w:left w:val="single" w:color="000000" w:sz="4" w:space="0"/>
              <w:bottom w:val="single" w:color="000000" w:sz="4" w:space="0"/>
              <w:right w:val="single" w:color="auto" w:sz="4" w:space="0"/>
            </w:tcBorders>
            <w:shd w:val="clear" w:color="auto" w:fill="F2F2F2"/>
            <w:vAlign w:val="center"/>
          </w:tcPr>
          <w:p>
            <w:pPr>
              <w:snapToGrid w:val="0"/>
              <w:spacing w:line="240" w:lineRule="auto"/>
              <w:rPr>
                <w:rFonts w:hint="eastAsia" w:ascii="宋体" w:hAnsi="宋体" w:eastAsia="宋体" w:cs="宋体"/>
                <w:sz w:val="24"/>
                <w:szCs w:val="24"/>
                <w:highlight w:val="none"/>
              </w:rPr>
            </w:pPr>
          </w:p>
        </w:tc>
        <w:tc>
          <w:tcPr>
            <w:tcW w:w="524" w:type="dxa"/>
            <w:tcBorders>
              <w:top w:val="single" w:color="000000" w:sz="4" w:space="0"/>
              <w:left w:val="single" w:color="auto" w:sz="4" w:space="0"/>
              <w:bottom w:val="single" w:color="000000" w:sz="4" w:space="0"/>
              <w:right w:val="single" w:color="000000" w:sz="4" w:space="0"/>
            </w:tcBorders>
            <w:shd w:val="clear" w:color="auto" w:fill="F2F2F2"/>
            <w:vAlign w:val="center"/>
          </w:tcPr>
          <w:p>
            <w:pPr>
              <w:snapToGrid w:val="0"/>
              <w:spacing w:line="24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股东</w:t>
            </w:r>
          </w:p>
        </w:tc>
        <w:tc>
          <w:tcPr>
            <w:tcW w:w="1840" w:type="dxa"/>
            <w:tcBorders>
              <w:top w:val="single" w:color="000000" w:sz="4" w:space="0"/>
              <w:left w:val="single" w:color="000000" w:sz="4" w:space="0"/>
              <w:bottom w:val="single" w:color="000000" w:sz="4" w:space="0"/>
              <w:right w:val="single" w:color="000000" w:sz="4" w:space="0"/>
            </w:tcBorders>
            <w:shd w:val="clear" w:color="auto" w:fill="F2F2F2"/>
            <w:vAlign w:val="center"/>
          </w:tcPr>
          <w:p>
            <w:pPr>
              <w:snapToGrid w:val="0"/>
              <w:spacing w:line="24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官网、微信公众号、股东会等</w:t>
            </w:r>
          </w:p>
        </w:tc>
        <w:tc>
          <w:tcPr>
            <w:tcW w:w="2269" w:type="dxa"/>
            <w:tcBorders>
              <w:top w:val="single" w:color="000000" w:sz="4" w:space="0"/>
              <w:left w:val="single" w:color="000000" w:sz="4" w:space="0"/>
              <w:bottom w:val="single" w:color="000000" w:sz="4" w:space="0"/>
              <w:right w:val="single" w:color="000000" w:sz="4" w:space="0"/>
            </w:tcBorders>
            <w:shd w:val="clear" w:color="auto" w:fill="F2F2F2"/>
            <w:vAlign w:val="center"/>
          </w:tcPr>
          <w:p>
            <w:pPr>
              <w:snapToGrid w:val="0"/>
              <w:spacing w:line="24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企业使命、企业愿景、改性</w:t>
            </w:r>
            <w:r>
              <w:rPr>
                <w:rFonts w:hint="eastAsia" w:cs="宋体"/>
                <w:sz w:val="24"/>
                <w:szCs w:val="24"/>
                <w:highlight w:val="none"/>
                <w:lang w:val="en-US" w:eastAsia="zh-CN"/>
              </w:rPr>
              <w:t>产业</w:t>
            </w:r>
            <w:r>
              <w:rPr>
                <w:rFonts w:hint="eastAsia" w:ascii="宋体" w:hAnsi="宋体" w:eastAsia="宋体" w:cs="宋体"/>
                <w:sz w:val="24"/>
                <w:szCs w:val="24"/>
                <w:highlight w:val="none"/>
              </w:rPr>
              <w:t>文化</w:t>
            </w:r>
          </w:p>
        </w:tc>
        <w:tc>
          <w:tcPr>
            <w:tcW w:w="1721" w:type="dxa"/>
            <w:tcBorders>
              <w:top w:val="single" w:color="000000" w:sz="4" w:space="0"/>
              <w:left w:val="single" w:color="000000" w:sz="4" w:space="0"/>
              <w:bottom w:val="single" w:color="000000" w:sz="4" w:space="0"/>
              <w:right w:val="single" w:color="000000" w:sz="4" w:space="0"/>
            </w:tcBorders>
            <w:shd w:val="clear" w:color="auto" w:fill="F2F2F2"/>
            <w:vAlign w:val="center"/>
          </w:tcPr>
          <w:p>
            <w:pPr>
              <w:snapToGrid w:val="0"/>
              <w:spacing w:line="24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投资交流活动、文化之旅</w:t>
            </w:r>
          </w:p>
        </w:tc>
        <w:tc>
          <w:tcPr>
            <w:tcW w:w="2211" w:type="dxa"/>
            <w:tcBorders>
              <w:top w:val="single" w:color="000000" w:sz="4" w:space="0"/>
              <w:left w:val="single" w:color="000000" w:sz="4" w:space="0"/>
              <w:bottom w:val="single" w:color="000000" w:sz="4" w:space="0"/>
              <w:right w:val="single" w:color="000000" w:sz="4" w:space="0"/>
            </w:tcBorders>
            <w:shd w:val="clear" w:color="auto" w:fill="F2F2F2"/>
            <w:vAlign w:val="center"/>
          </w:tcPr>
          <w:p>
            <w:pPr>
              <w:snapToGrid w:val="0"/>
              <w:spacing w:line="24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股东认可、投资交流频次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438" w:type="dxa"/>
            <w:vMerge w:val="continue"/>
            <w:tcBorders>
              <w:top w:val="single" w:color="000000" w:sz="4" w:space="0"/>
              <w:left w:val="single" w:color="000000" w:sz="4" w:space="0"/>
              <w:bottom w:val="single" w:color="000000" w:sz="4" w:space="0"/>
              <w:right w:val="single" w:color="auto" w:sz="4" w:space="0"/>
            </w:tcBorders>
            <w:shd w:val="clear" w:color="auto" w:fill="F2F2F2"/>
            <w:vAlign w:val="center"/>
          </w:tcPr>
          <w:p>
            <w:pPr>
              <w:snapToGrid w:val="0"/>
              <w:spacing w:line="240" w:lineRule="auto"/>
              <w:rPr>
                <w:rFonts w:hint="eastAsia" w:ascii="宋体" w:hAnsi="宋体" w:eastAsia="宋体" w:cs="宋体"/>
                <w:sz w:val="24"/>
                <w:szCs w:val="24"/>
                <w:highlight w:val="none"/>
              </w:rPr>
            </w:pPr>
          </w:p>
        </w:tc>
        <w:tc>
          <w:tcPr>
            <w:tcW w:w="524" w:type="dxa"/>
            <w:tcBorders>
              <w:top w:val="single" w:color="000000" w:sz="4" w:space="0"/>
              <w:left w:val="single" w:color="auto" w:sz="4" w:space="0"/>
              <w:bottom w:val="single" w:color="000000" w:sz="4" w:space="0"/>
              <w:right w:val="single" w:color="000000" w:sz="4" w:space="0"/>
            </w:tcBorders>
            <w:shd w:val="clear" w:color="auto" w:fill="F2F2F2"/>
            <w:vAlign w:val="center"/>
          </w:tcPr>
          <w:p>
            <w:pPr>
              <w:snapToGrid w:val="0"/>
              <w:spacing w:line="24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社会</w:t>
            </w:r>
          </w:p>
        </w:tc>
        <w:tc>
          <w:tcPr>
            <w:tcW w:w="1840" w:type="dxa"/>
            <w:tcBorders>
              <w:top w:val="single" w:color="000000" w:sz="4" w:space="0"/>
              <w:left w:val="single" w:color="000000" w:sz="4" w:space="0"/>
              <w:bottom w:val="single" w:color="000000" w:sz="4" w:space="0"/>
              <w:right w:val="single" w:color="000000" w:sz="4" w:space="0"/>
            </w:tcBorders>
            <w:shd w:val="clear" w:color="auto" w:fill="F2F2F2"/>
            <w:vAlign w:val="center"/>
          </w:tcPr>
          <w:p>
            <w:pPr>
              <w:snapToGrid w:val="0"/>
              <w:spacing w:line="24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文化交流、企业文化交流等</w:t>
            </w:r>
          </w:p>
        </w:tc>
        <w:tc>
          <w:tcPr>
            <w:tcW w:w="2269" w:type="dxa"/>
            <w:tcBorders>
              <w:top w:val="single" w:color="000000" w:sz="4" w:space="0"/>
              <w:left w:val="single" w:color="000000" w:sz="4" w:space="0"/>
              <w:bottom w:val="single" w:color="000000" w:sz="4" w:space="0"/>
              <w:right w:val="single" w:color="000000" w:sz="4" w:space="0"/>
            </w:tcBorders>
            <w:shd w:val="clear" w:color="auto" w:fill="F2F2F2"/>
            <w:vAlign w:val="center"/>
          </w:tcPr>
          <w:p>
            <w:pPr>
              <w:snapToGrid w:val="0"/>
              <w:spacing w:line="24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社会贡献、企业使命、企业愿景、党建文化</w:t>
            </w:r>
          </w:p>
        </w:tc>
        <w:tc>
          <w:tcPr>
            <w:tcW w:w="1721" w:type="dxa"/>
            <w:tcBorders>
              <w:top w:val="single" w:color="000000" w:sz="4" w:space="0"/>
              <w:left w:val="single" w:color="000000" w:sz="4" w:space="0"/>
              <w:bottom w:val="single" w:color="000000" w:sz="4" w:space="0"/>
              <w:right w:val="single" w:color="000000" w:sz="4" w:space="0"/>
            </w:tcBorders>
            <w:shd w:val="clear" w:color="auto" w:fill="F2F2F2"/>
            <w:vAlign w:val="center"/>
          </w:tcPr>
          <w:p>
            <w:pPr>
              <w:snapToGrid w:val="0"/>
              <w:spacing w:line="24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文化之旅、党建文化访问、企业文化访问</w:t>
            </w:r>
          </w:p>
        </w:tc>
        <w:tc>
          <w:tcPr>
            <w:tcW w:w="2211" w:type="dxa"/>
            <w:tcBorders>
              <w:top w:val="single" w:color="000000" w:sz="4" w:space="0"/>
              <w:left w:val="single" w:color="000000" w:sz="4" w:space="0"/>
              <w:bottom w:val="single" w:color="000000" w:sz="4" w:space="0"/>
              <w:right w:val="single" w:color="000000" w:sz="4" w:space="0"/>
            </w:tcBorders>
            <w:shd w:val="clear" w:color="auto" w:fill="F2F2F2"/>
            <w:vAlign w:val="center"/>
          </w:tcPr>
          <w:p>
            <w:pPr>
              <w:snapToGrid w:val="0"/>
              <w:spacing w:line="24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提升社会知名度、交流接待数量</w:t>
            </w:r>
          </w:p>
        </w:tc>
      </w:tr>
    </w:tbl>
    <w:p>
      <w:pPr>
        <w:pStyle w:val="4"/>
        <w:spacing w:before="166" w:line="360" w:lineRule="auto"/>
        <w:ind w:right="359" w:firstLine="48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公司将“企业文化培训”作为新员工入职学习内容之一，每年由高层领导亲自讲解和引导；公司通过</w:t>
      </w:r>
      <w:r>
        <w:rPr>
          <w:rFonts w:hint="eastAsia" w:cs="宋体"/>
          <w:sz w:val="24"/>
          <w:szCs w:val="24"/>
          <w:highlight w:val="none"/>
          <w:lang w:eastAsia="zh-CN"/>
        </w:rPr>
        <w:t>益大</w:t>
      </w:r>
      <w:r>
        <w:rPr>
          <w:rFonts w:hint="eastAsia" w:ascii="宋体" w:hAnsi="宋体" w:eastAsia="宋体" w:cs="宋体"/>
          <w:sz w:val="24"/>
          <w:szCs w:val="24"/>
          <w:highlight w:val="none"/>
        </w:rPr>
        <w:t>网站、宣传海报、微信公众号、企业文化手册、丰富多彩的企业文化活动等方式，将核心文化传播至各层次、各部门，营造浓郁的企业文化氛围。</w:t>
      </w:r>
    </w:p>
    <w:p>
      <w:pPr>
        <w:pStyle w:val="4"/>
        <w:spacing w:before="166" w:line="360" w:lineRule="auto"/>
        <w:ind w:right="359"/>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b）与相关方进行沟通，激励员工以强化组织的方向和重点</w:t>
      </w:r>
    </w:p>
    <w:p>
      <w:pPr>
        <w:pStyle w:val="4"/>
        <w:spacing w:before="166" w:line="360" w:lineRule="auto"/>
        <w:ind w:right="359"/>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1）加强与员工及其他相关方的沟通</w:t>
      </w:r>
    </w:p>
    <w:p>
      <w:pPr>
        <w:pStyle w:val="4"/>
        <w:spacing w:before="166" w:line="360" w:lineRule="auto"/>
        <w:ind w:right="359" w:firstLine="48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公司通过多种方式向股东、员工、客户、供应商等利益相关方传播企业文化，激励企业全员为实现公司战略目标而努力，也促使相关方充分理解公司经营理念。</w:t>
      </w:r>
    </w:p>
    <w:p>
      <w:pPr>
        <w:pStyle w:val="4"/>
        <w:spacing w:before="166" w:line="360" w:lineRule="auto"/>
        <w:ind w:right="359" w:firstLine="48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图表</w:t>
      </w:r>
      <w:r>
        <w:rPr>
          <w:rFonts w:hint="eastAsia" w:ascii="宋体" w:hAnsi="宋体" w:eastAsia="宋体" w:cs="宋体"/>
          <w:sz w:val="24"/>
          <w:szCs w:val="24"/>
          <w:highlight w:val="none"/>
          <w:lang w:val="en-US"/>
        </w:rPr>
        <w:t>2</w:t>
      </w:r>
      <w:r>
        <w:rPr>
          <w:rFonts w:hint="eastAsia" w:ascii="宋体" w:hAnsi="宋体" w:eastAsia="宋体" w:cs="宋体"/>
          <w:sz w:val="24"/>
          <w:szCs w:val="24"/>
          <w:highlight w:val="none"/>
        </w:rPr>
        <w:t>.1-</w:t>
      </w: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SEQ 图表4.1- \* ARABIC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4</w:t>
      </w:r>
      <w:r>
        <w:rPr>
          <w:rFonts w:hint="eastAsia" w:ascii="宋体" w:hAnsi="宋体" w:eastAsia="宋体" w:cs="宋体"/>
          <w:sz w:val="24"/>
          <w:szCs w:val="24"/>
          <w:highlight w:val="none"/>
        </w:rPr>
        <w:fldChar w:fldCharType="end"/>
      </w:r>
      <w:r>
        <w:rPr>
          <w:rFonts w:hint="eastAsia" w:ascii="宋体" w:hAnsi="宋体" w:eastAsia="宋体" w:cs="宋体"/>
          <w:sz w:val="24"/>
          <w:szCs w:val="24"/>
          <w:highlight w:val="none"/>
        </w:rPr>
        <w:t xml:space="preserve"> 公司与相关方双向沟通方式</w:t>
      </w:r>
    </w:p>
    <w:tbl>
      <w:tblPr>
        <w:tblStyle w:val="11"/>
        <w:tblW w:w="90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79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1101" w:type="dxa"/>
            <w:shd w:val="clear" w:color="auto" w:fill="548DD4" w:themeFill="text2" w:themeFillTint="99"/>
            <w:vAlign w:val="center"/>
          </w:tcPr>
          <w:p>
            <w:pPr>
              <w:spacing w:line="360" w:lineRule="auto"/>
              <w:jc w:val="center"/>
              <w:rPr>
                <w:rFonts w:hint="eastAsia" w:ascii="宋体" w:hAnsi="宋体" w:eastAsia="宋体" w:cs="宋体"/>
                <w:b/>
                <w:sz w:val="24"/>
                <w:szCs w:val="24"/>
                <w:highlight w:val="none"/>
              </w:rPr>
            </w:pPr>
            <w:r>
              <w:rPr>
                <w:rFonts w:hint="eastAsia" w:ascii="宋体" w:hAnsi="宋体" w:eastAsia="宋体" w:cs="宋体"/>
                <w:b/>
                <w:sz w:val="24"/>
                <w:szCs w:val="24"/>
                <w:highlight w:val="none"/>
              </w:rPr>
              <w:t>对象</w:t>
            </w:r>
          </w:p>
        </w:tc>
        <w:tc>
          <w:tcPr>
            <w:tcW w:w="7902" w:type="dxa"/>
            <w:shd w:val="clear" w:color="auto" w:fill="548DD4" w:themeFill="text2" w:themeFillTint="99"/>
            <w:vAlign w:val="center"/>
          </w:tcPr>
          <w:p>
            <w:pPr>
              <w:spacing w:line="360" w:lineRule="auto"/>
              <w:jc w:val="center"/>
              <w:rPr>
                <w:rFonts w:hint="eastAsia" w:ascii="宋体" w:hAnsi="宋体" w:eastAsia="宋体" w:cs="宋体"/>
                <w:b/>
                <w:sz w:val="24"/>
                <w:szCs w:val="24"/>
                <w:highlight w:val="none"/>
              </w:rPr>
            </w:pPr>
            <w:r>
              <w:rPr>
                <w:rFonts w:hint="eastAsia" w:ascii="宋体" w:hAnsi="宋体" w:eastAsia="宋体" w:cs="宋体"/>
                <w:b/>
                <w:sz w:val="24"/>
                <w:szCs w:val="24"/>
                <w:highlight w:val="none"/>
              </w:rPr>
              <w:t>沟通方式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01" w:type="dxa"/>
            <w:vMerge w:val="restart"/>
            <w:shd w:val="clear" w:color="auto" w:fill="F2F2F2"/>
            <w:vAlign w:val="center"/>
          </w:tcPr>
          <w:p>
            <w:pPr>
              <w:spacing w:line="24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员工</w:t>
            </w:r>
          </w:p>
        </w:tc>
        <w:tc>
          <w:tcPr>
            <w:tcW w:w="7902" w:type="dxa"/>
            <w:shd w:val="clear" w:color="auto" w:fill="F2F2F2"/>
            <w:vAlign w:val="center"/>
          </w:tcPr>
          <w:p>
            <w:pPr>
              <w:spacing w:line="24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公司网站、《员工手册》、企业宣传册、企业文化墙、公司展厅、宣传片、宣传窗等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01" w:type="dxa"/>
            <w:vMerge w:val="continue"/>
            <w:shd w:val="clear" w:color="auto" w:fill="F2F2F2"/>
          </w:tcPr>
          <w:p>
            <w:pPr>
              <w:spacing w:line="240" w:lineRule="auto"/>
              <w:rPr>
                <w:rFonts w:hint="eastAsia" w:ascii="宋体" w:hAnsi="宋体" w:eastAsia="宋体" w:cs="宋体"/>
                <w:sz w:val="24"/>
                <w:szCs w:val="24"/>
                <w:highlight w:val="none"/>
              </w:rPr>
            </w:pPr>
          </w:p>
        </w:tc>
        <w:tc>
          <w:tcPr>
            <w:tcW w:w="7902" w:type="dxa"/>
            <w:shd w:val="clear" w:color="auto" w:fill="F2F2F2"/>
            <w:vAlign w:val="center"/>
          </w:tcPr>
          <w:p>
            <w:pPr>
              <w:spacing w:line="24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电话、QQ、微信平台、电子邮件系统等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01" w:type="dxa"/>
            <w:vMerge w:val="continue"/>
            <w:shd w:val="clear" w:color="auto" w:fill="F2F2F2"/>
          </w:tcPr>
          <w:p>
            <w:pPr>
              <w:spacing w:line="240" w:lineRule="auto"/>
              <w:rPr>
                <w:rFonts w:hint="eastAsia" w:ascii="宋体" w:hAnsi="宋体" w:eastAsia="宋体" w:cs="宋体"/>
                <w:sz w:val="24"/>
                <w:szCs w:val="24"/>
                <w:highlight w:val="none"/>
              </w:rPr>
            </w:pPr>
          </w:p>
        </w:tc>
        <w:tc>
          <w:tcPr>
            <w:tcW w:w="7902" w:type="dxa"/>
            <w:shd w:val="clear" w:color="auto" w:fill="F2F2F2"/>
            <w:vAlign w:val="center"/>
          </w:tcPr>
          <w:p>
            <w:pPr>
              <w:spacing w:line="24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新员工入职培训、企业文化培训、素质拓展训练、专业培训、技能培训等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01" w:type="dxa"/>
            <w:vMerge w:val="continue"/>
            <w:shd w:val="clear" w:color="auto" w:fill="F2F2F2"/>
          </w:tcPr>
          <w:p>
            <w:pPr>
              <w:spacing w:line="240" w:lineRule="auto"/>
              <w:rPr>
                <w:rFonts w:hint="eastAsia" w:ascii="宋体" w:hAnsi="宋体" w:eastAsia="宋体" w:cs="宋体"/>
                <w:sz w:val="24"/>
                <w:szCs w:val="24"/>
                <w:highlight w:val="none"/>
              </w:rPr>
            </w:pPr>
          </w:p>
        </w:tc>
        <w:tc>
          <w:tcPr>
            <w:tcW w:w="7902" w:type="dxa"/>
            <w:shd w:val="clear" w:color="auto" w:fill="F2F2F2"/>
            <w:vAlign w:val="center"/>
          </w:tcPr>
          <w:p>
            <w:pPr>
              <w:spacing w:line="24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职工活动、联谊活动、文艺活动、旅游活动、公益活动等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01" w:type="dxa"/>
            <w:vMerge w:val="continue"/>
            <w:shd w:val="clear" w:color="auto" w:fill="F2F2F2"/>
          </w:tcPr>
          <w:p>
            <w:pPr>
              <w:spacing w:line="240" w:lineRule="auto"/>
              <w:rPr>
                <w:rFonts w:hint="eastAsia" w:ascii="宋体" w:hAnsi="宋体" w:eastAsia="宋体" w:cs="宋体"/>
                <w:sz w:val="24"/>
                <w:szCs w:val="24"/>
                <w:highlight w:val="none"/>
              </w:rPr>
            </w:pPr>
          </w:p>
        </w:tc>
        <w:tc>
          <w:tcPr>
            <w:tcW w:w="7902" w:type="dxa"/>
            <w:shd w:val="clear" w:color="auto" w:fill="F2F2F2"/>
            <w:vAlign w:val="center"/>
          </w:tcPr>
          <w:p>
            <w:pPr>
              <w:spacing w:line="24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周例会、生产例会、营销例会、月度总结大会、年度总结大会等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01" w:type="dxa"/>
            <w:shd w:val="clear" w:color="auto" w:fill="F2F2F2"/>
            <w:vAlign w:val="center"/>
          </w:tcPr>
          <w:p>
            <w:pPr>
              <w:spacing w:line="24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顾客</w:t>
            </w:r>
          </w:p>
        </w:tc>
        <w:tc>
          <w:tcPr>
            <w:tcW w:w="7902" w:type="dxa"/>
            <w:shd w:val="clear" w:color="auto" w:fill="F2F2F2"/>
            <w:vAlign w:val="center"/>
          </w:tcPr>
          <w:p>
            <w:pPr>
              <w:spacing w:line="24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官网、展会沟通、企业宣传册、广告宣传、传真、电子邮件、新闻媒体、行业杂志、客户服务热线、、现场走访等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01" w:type="dxa"/>
            <w:shd w:val="clear" w:color="auto" w:fill="F2F2F2"/>
            <w:vAlign w:val="center"/>
          </w:tcPr>
          <w:p>
            <w:pPr>
              <w:adjustRightInd w:val="0"/>
              <w:snapToGrid w:val="0"/>
              <w:spacing w:line="24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股东</w:t>
            </w:r>
          </w:p>
        </w:tc>
        <w:tc>
          <w:tcPr>
            <w:tcW w:w="7902" w:type="dxa"/>
            <w:shd w:val="clear" w:color="auto" w:fill="F2F2F2"/>
            <w:vAlign w:val="center"/>
          </w:tcPr>
          <w:p>
            <w:pPr>
              <w:spacing w:line="24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股东大会、网站、报刊、各种财务报表、审计报告、新闻媒体宣传、个别沟通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01" w:type="dxa"/>
            <w:shd w:val="clear" w:color="auto" w:fill="F2F2F2"/>
            <w:vAlign w:val="center"/>
          </w:tcPr>
          <w:p>
            <w:pPr>
              <w:spacing w:line="24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供应商</w:t>
            </w:r>
          </w:p>
        </w:tc>
        <w:tc>
          <w:tcPr>
            <w:tcW w:w="7902" w:type="dxa"/>
            <w:shd w:val="clear" w:color="auto" w:fill="F2F2F2"/>
            <w:vAlign w:val="center"/>
          </w:tcPr>
          <w:p>
            <w:pPr>
              <w:spacing w:line="24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供应商实地考察、供应商评选、供应商会议、电话沟通、电子邮件等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01" w:type="dxa"/>
            <w:shd w:val="clear" w:color="auto" w:fill="F2F2F2"/>
            <w:vAlign w:val="center"/>
          </w:tcPr>
          <w:p>
            <w:pPr>
              <w:spacing w:line="24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合作伙伴 </w:t>
            </w:r>
          </w:p>
        </w:tc>
        <w:tc>
          <w:tcPr>
            <w:tcW w:w="7902" w:type="dxa"/>
            <w:shd w:val="clear" w:color="auto" w:fill="F2F2F2"/>
            <w:vAlign w:val="center"/>
          </w:tcPr>
          <w:p>
            <w:pPr>
              <w:spacing w:line="24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公司网站、新闻媒体、行业协会活动、项目开发等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01" w:type="dxa"/>
            <w:shd w:val="clear" w:color="auto" w:fill="F2F2F2"/>
            <w:vAlign w:val="center"/>
          </w:tcPr>
          <w:p>
            <w:pPr>
              <w:spacing w:line="24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政府</w:t>
            </w:r>
          </w:p>
          <w:p>
            <w:pPr>
              <w:spacing w:line="24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公众</w:t>
            </w:r>
          </w:p>
        </w:tc>
        <w:tc>
          <w:tcPr>
            <w:tcW w:w="7902" w:type="dxa"/>
            <w:shd w:val="clear" w:color="auto" w:fill="F2F2F2"/>
            <w:vAlign w:val="center"/>
          </w:tcPr>
          <w:p>
            <w:pPr>
              <w:spacing w:line="24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工作汇报、项目评审、参观指导、接待相关人员来访、参加公益活动、慈善捐赠等、</w:t>
            </w:r>
          </w:p>
          <w:p>
            <w:pPr>
              <w:spacing w:line="24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企业网站、企业刊物、宣传册、宣传片等</w:t>
            </w:r>
          </w:p>
        </w:tc>
      </w:tr>
    </w:tbl>
    <w:p>
      <w:pPr>
        <w:pStyle w:val="4"/>
        <w:spacing w:before="166" w:line="360" w:lineRule="auto"/>
        <w:ind w:right="359"/>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2）激励员工以强化组织发展</w:t>
      </w:r>
    </w:p>
    <w:p>
      <w:pPr>
        <w:pStyle w:val="4"/>
        <w:spacing w:before="166" w:line="360" w:lineRule="auto"/>
        <w:ind w:right="359" w:firstLine="48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为了激励员工的正确行为，公司从文化、制度和活动多方面进行了激励，鼓励员工的行为符合公司发展方向。</w:t>
      </w:r>
    </w:p>
    <w:p>
      <w:pPr>
        <w:spacing w:line="400" w:lineRule="exact"/>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文化激励：</w:t>
      </w:r>
      <w:r>
        <w:rPr>
          <w:rFonts w:hint="eastAsia" w:cs="宋体"/>
          <w:sz w:val="24"/>
          <w:szCs w:val="24"/>
          <w:highlight w:val="none"/>
          <w:lang w:eastAsia="zh-CN"/>
        </w:rPr>
        <w:t>益大</w:t>
      </w:r>
      <w:r>
        <w:rPr>
          <w:rFonts w:hint="eastAsia" w:ascii="宋体" w:hAnsi="宋体" w:eastAsia="宋体" w:cs="宋体"/>
          <w:sz w:val="24"/>
          <w:szCs w:val="24"/>
          <w:highlight w:val="none"/>
        </w:rPr>
        <w:t>人</w:t>
      </w:r>
      <w:r>
        <w:rPr>
          <w:rFonts w:hint="eastAsia" w:ascii="宋体" w:hAnsi="宋体" w:eastAsia="宋体" w:cs="宋体"/>
          <w:sz w:val="24"/>
          <w:szCs w:val="24"/>
          <w:highlight w:val="none"/>
          <w:lang w:val="zh-CN" w:eastAsia="zh-CN" w:bidi="zh-CN"/>
        </w:rPr>
        <w:t>以</w:t>
      </w:r>
      <w:r>
        <w:rPr>
          <w:rFonts w:hint="eastAsia" w:ascii="宋体" w:hAnsi="宋体" w:eastAsia="宋体" w:cs="宋体"/>
          <w:sz w:val="24"/>
          <w:szCs w:val="24"/>
          <w:highlight w:val="none"/>
          <w:lang w:val="zh-CN" w:eastAsia="zh-CN" w:bidi="zh-CN"/>
        </w:rPr>
        <w:t>“一站式数字化管理，可持续高质量发展”为宗旨，坚持“遵守国家、地方环境法律法规；坚持防治结合，不断改进，实现公司持续发展；提高环境意识，保护优美环境</w:t>
      </w:r>
      <w:r>
        <w:rPr>
          <w:rFonts w:hint="eastAsia" w:ascii="宋体" w:hAnsi="宋体" w:eastAsia="宋体" w:cs="宋体"/>
          <w:sz w:val="24"/>
          <w:szCs w:val="24"/>
          <w:highlight w:val="none"/>
          <w:lang w:val="en-US" w:eastAsia="zh-CN" w:bidi="zh-CN"/>
        </w:rPr>
        <w:t>；</w:t>
      </w:r>
      <w:r>
        <w:rPr>
          <w:rFonts w:hint="eastAsia" w:ascii="宋体" w:hAnsi="宋体" w:eastAsia="宋体" w:cs="宋体"/>
          <w:sz w:val="24"/>
          <w:szCs w:val="24"/>
          <w:highlight w:val="none"/>
          <w:lang w:val="zh-CN" w:eastAsia="zh-CN" w:bidi="zh-CN"/>
        </w:rPr>
        <w:t>安全第一，预防改进；行为规范，健康和谐，真正形成团结和谐谋发展、众志成城创大业的合力，实现企业和员工</w:t>
      </w:r>
      <w:r>
        <w:rPr>
          <w:rFonts w:hint="eastAsia" w:ascii="宋体" w:hAnsi="宋体" w:eastAsia="宋体" w:cs="宋体"/>
          <w:sz w:val="24"/>
          <w:szCs w:val="24"/>
          <w:highlight w:val="none"/>
        </w:rPr>
        <w:t>的文明、和谐、科学、有效的发展。正确、扎实、快速、有效应该是</w:t>
      </w:r>
      <w:r>
        <w:rPr>
          <w:rFonts w:hint="eastAsia" w:cs="宋体"/>
          <w:sz w:val="24"/>
          <w:szCs w:val="24"/>
          <w:highlight w:val="none"/>
          <w:lang w:eastAsia="zh-CN"/>
        </w:rPr>
        <w:t>益大</w:t>
      </w:r>
      <w:r>
        <w:rPr>
          <w:rFonts w:hint="eastAsia" w:ascii="宋体" w:hAnsi="宋体" w:eastAsia="宋体" w:cs="宋体"/>
          <w:sz w:val="24"/>
          <w:szCs w:val="24"/>
          <w:highlight w:val="none"/>
        </w:rPr>
        <w:t>的工作风格，在保证事情做对的前提下，实现行事高品质、高效率、低成本，那最后的高效益就会成为必然。</w:t>
      </w:r>
    </w:p>
    <w:p>
      <w:pPr>
        <w:pStyle w:val="4"/>
        <w:spacing w:before="166" w:line="360" w:lineRule="auto"/>
        <w:ind w:right="359" w:firstLine="48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制度激励：公司制定了员工手册，规范员工行为，并通过制定各种奖励制度，鼓励员工表现公司期待的行为。如供应商管理制度、廉政文化建设制度等。</w:t>
      </w:r>
    </w:p>
    <w:p>
      <w:pPr>
        <w:pStyle w:val="4"/>
        <w:spacing w:before="166" w:line="360" w:lineRule="auto"/>
        <w:ind w:right="359" w:firstLine="48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物质激励：为鼓励全体员工实现卓越绩效的活动，强化公司未来的发展方向和发展重点，公司设立了优秀员工、优秀团队、创新奖等荣誉，为员工的优秀表现给予精神奖励及物质奖励。在供应商与顾客方面，公司定期评级，根据评级结果相应提供增值性服务，以增进双方友谊，朝着对双方都有利的方向迈进。</w:t>
      </w:r>
    </w:p>
    <w:p>
      <w:pPr>
        <w:pStyle w:val="4"/>
        <w:spacing w:before="166" w:line="360" w:lineRule="auto"/>
        <w:ind w:right="359"/>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c）营造良好的内部经营环境</w:t>
      </w:r>
    </w:p>
    <w:p>
      <w:pPr>
        <w:pStyle w:val="4"/>
        <w:spacing w:before="166" w:line="360" w:lineRule="auto"/>
        <w:ind w:right="359"/>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1）创造诚信守法的环境</w:t>
      </w:r>
    </w:p>
    <w:p>
      <w:pPr>
        <w:pStyle w:val="4"/>
        <w:spacing w:before="166" w:line="360" w:lineRule="auto"/>
        <w:ind w:right="359" w:firstLine="48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公司高层领导致力于营造守法重德的环境，坚持诚信经营、遵纪守法、依法纳税。公司每年组织各部门开展法律法规监督与检查，严格遵守国家的法律法规，建立商业行为准则和员工商业行为规范。公司一直践行廉政文化，逐步完善制度，规范公司及员工行为。此外，公司定期接受国外多家知名品牌客户验厂，不断完善诚信守法体系。</w:t>
      </w:r>
    </w:p>
    <w:p>
      <w:pPr>
        <w:pStyle w:val="4"/>
        <w:spacing w:before="166" w:line="360" w:lineRule="auto"/>
        <w:ind w:right="359" w:firstLine="48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公司通过各种方式对合作方实施影响，例如，公司以合同的形式规范供应商行为，通过对供应商的审计评价，认定其供应资格。近几年来，公司没有发生一件诉讼或纠纷。</w:t>
      </w:r>
    </w:p>
    <w:p>
      <w:pPr>
        <w:pStyle w:val="4"/>
        <w:spacing w:before="166" w:line="360" w:lineRule="auto"/>
        <w:ind w:right="359" w:firstLine="48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公司坚信诚为做人之源，信为立业之本是企业做大做强的根本，求真务实的思想作风是企业对社会、客户、员工等责任承诺的保障基础。在公司内部企业、部门、员工之间都要讲诚信、守承诺，相互信赖、相互支持；在外部则是做事业要务实，注重长期经营，坚持合作共赢，承担社会责任，关注节能环保问题，成为行业节能环保先行者。</w:t>
      </w:r>
    </w:p>
    <w:p>
      <w:pPr>
        <w:pStyle w:val="4"/>
        <w:spacing w:before="166" w:line="360" w:lineRule="auto"/>
        <w:ind w:right="359"/>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2）创建有利于改进和创新的环境</w:t>
      </w:r>
    </w:p>
    <w:p>
      <w:pPr>
        <w:pStyle w:val="4"/>
        <w:spacing w:before="166" w:line="360" w:lineRule="auto"/>
        <w:ind w:right="359" w:firstLine="480"/>
        <w:jc w:val="both"/>
        <w:rPr>
          <w:rFonts w:hint="eastAsia" w:ascii="宋体" w:hAnsi="宋体" w:eastAsia="宋体" w:cs="宋体"/>
          <w:sz w:val="24"/>
          <w:szCs w:val="24"/>
          <w:highlight w:val="none"/>
        </w:rPr>
      </w:pPr>
      <w:r>
        <w:rPr>
          <w:rFonts w:hint="eastAsia" w:cs="宋体"/>
          <w:sz w:val="24"/>
          <w:szCs w:val="24"/>
          <w:highlight w:val="none"/>
          <w:lang w:eastAsia="zh-CN"/>
        </w:rPr>
        <w:t>益大</w:t>
      </w:r>
      <w:r>
        <w:rPr>
          <w:rFonts w:hint="eastAsia" w:ascii="宋体" w:hAnsi="宋体" w:eastAsia="宋体" w:cs="宋体"/>
          <w:sz w:val="24"/>
          <w:szCs w:val="24"/>
          <w:highlight w:val="none"/>
        </w:rPr>
        <w:t>的快速发展离不开总经理的不断创新的思维和实践，正是由于</w:t>
      </w:r>
      <w:r>
        <w:rPr>
          <w:rFonts w:hint="eastAsia" w:cs="宋体"/>
          <w:sz w:val="24"/>
          <w:szCs w:val="24"/>
          <w:highlight w:val="none"/>
          <w:lang w:eastAsia="zh-CN"/>
        </w:rPr>
        <w:t>益大</w:t>
      </w:r>
      <w:r>
        <w:rPr>
          <w:rFonts w:hint="eastAsia" w:ascii="宋体" w:hAnsi="宋体" w:eastAsia="宋体" w:cs="宋体"/>
          <w:sz w:val="24"/>
          <w:szCs w:val="24"/>
          <w:highlight w:val="none"/>
        </w:rPr>
        <w:t>的发展动力来自于源源不断的创新，使得创新意识已植根于企业文化，并不断促进公司的发展。</w:t>
      </w:r>
    </w:p>
    <w:p>
      <w:pPr>
        <w:pStyle w:val="4"/>
        <w:spacing w:before="166" w:line="360" w:lineRule="auto"/>
        <w:ind w:right="359"/>
        <w:jc w:val="both"/>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科技创新环境的营造</w:t>
      </w:r>
    </w:p>
    <w:p>
      <w:pPr>
        <w:pStyle w:val="4"/>
        <w:spacing w:before="166" w:line="360" w:lineRule="auto"/>
        <w:ind w:right="359" w:firstLine="480" w:firstLineChars="20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公司在多年的经营过程中不断契合消费者需求，追求产品时尚、新颖、环保等方面的创新，追求产品高标准高质量。公司新产品开发以市场需求为坐标，了解市场的需求和用户的心理，以此研发新的产品，开拓新的消费需求领域，以领先行业研发水平的智造能力为产品性能加码。</w:t>
      </w:r>
    </w:p>
    <w:p>
      <w:pPr>
        <w:pStyle w:val="4"/>
        <w:spacing w:before="166" w:line="360" w:lineRule="auto"/>
        <w:ind w:right="359" w:firstLine="48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科技创新：公司建立了企业</w:t>
      </w:r>
      <w:r>
        <w:rPr>
          <w:rFonts w:hint="eastAsia" w:cs="宋体"/>
          <w:sz w:val="24"/>
          <w:szCs w:val="24"/>
          <w:highlight w:val="none"/>
          <w:lang w:eastAsia="zh-CN"/>
        </w:rPr>
        <w:t>自己的</w:t>
      </w:r>
      <w:r>
        <w:rPr>
          <w:rFonts w:hint="eastAsia" w:ascii="宋体" w:hAnsi="宋体" w:eastAsia="宋体" w:cs="宋体"/>
          <w:sz w:val="24"/>
          <w:szCs w:val="24"/>
          <w:highlight w:val="none"/>
        </w:rPr>
        <w:t>技术</w:t>
      </w:r>
      <w:r>
        <w:rPr>
          <w:rFonts w:hint="eastAsia" w:cs="宋体"/>
          <w:sz w:val="24"/>
          <w:szCs w:val="24"/>
          <w:highlight w:val="none"/>
          <w:lang w:eastAsia="zh-CN"/>
        </w:rPr>
        <w:t>研发</w:t>
      </w:r>
      <w:r>
        <w:rPr>
          <w:rFonts w:hint="eastAsia" w:ascii="宋体" w:hAnsi="宋体" w:eastAsia="宋体" w:cs="宋体"/>
          <w:sz w:val="24"/>
          <w:szCs w:val="24"/>
          <w:highlight w:val="none"/>
        </w:rPr>
        <w:t>中心，为保证</w:t>
      </w:r>
      <w:r>
        <w:rPr>
          <w:rFonts w:hint="eastAsia" w:cs="宋体"/>
          <w:sz w:val="24"/>
          <w:szCs w:val="24"/>
          <w:highlight w:val="none"/>
          <w:lang w:eastAsia="zh-CN"/>
        </w:rPr>
        <w:t>研发</w:t>
      </w:r>
      <w:r>
        <w:rPr>
          <w:rFonts w:hint="eastAsia" w:ascii="宋体" w:hAnsi="宋体" w:eastAsia="宋体" w:cs="宋体"/>
          <w:sz w:val="24"/>
          <w:szCs w:val="24"/>
          <w:highlight w:val="none"/>
        </w:rPr>
        <w:t>技术中心各项工作的顺利、有序开展，公司从制度入手，注重抓源头，建机构，建立并不多完善各项管理制度，使技术中心各项工作有章有循、有规可依。</w:t>
      </w:r>
    </w:p>
    <w:p>
      <w:pPr>
        <w:pStyle w:val="4"/>
        <w:spacing w:before="166" w:line="360" w:lineRule="auto"/>
        <w:ind w:right="359" w:firstLine="48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公司建立了完善的财务分析制度，充分收集有关财务、销售、市场、技术、政策、法律等方面的有关信息资料，根据不同情况分别采用比较分析、因素分析、平衡分析等方法。公司每月召开资金分析会议，分析预算执行情况、财务收入、费用、利润的预算完成情况及资金日常使用的执行情况。跟踪检查月度资金计划执行情况，有效控制资金使用，使公司实时掌握资金情况并根据各种需求做出调整。</w:t>
      </w:r>
    </w:p>
    <w:p>
      <w:pPr>
        <w:pStyle w:val="4"/>
        <w:spacing w:before="166" w:line="360" w:lineRule="auto"/>
        <w:ind w:right="359" w:firstLine="48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在人员激励上，为鼓励研发人员的创造性，企业制订相应的激励措施，对围绕企业生产能力有关产品，新开发研究成功的全新产品，直接给予资金奖励。同时，将产品的新创意、新技艺等方面列入研发中心人员月绩效考核的指标内容，极大地调动了研发人员致力新产品开发和研制的工作热情。</w:t>
      </w:r>
    </w:p>
    <w:p>
      <w:pPr>
        <w:pStyle w:val="4"/>
        <w:spacing w:before="166" w:line="360" w:lineRule="auto"/>
        <w:ind w:right="359"/>
        <w:jc w:val="both"/>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管理创新环境的营造</w:t>
      </w:r>
    </w:p>
    <w:p>
      <w:pPr>
        <w:pStyle w:val="4"/>
        <w:spacing w:before="166" w:line="360" w:lineRule="auto"/>
        <w:ind w:right="359" w:firstLine="48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管理创新：此外，为推进企业生产经营、技术创新、制度建设、内部管理等，公司制定了员工合理化建议管理制度，规定合理化建议范围及奖励方式等。该管理办法为员工合理化建议提供了良好的实施环境，极大地鼓舞了员工争做创新标杆的士气。</w:t>
      </w:r>
    </w:p>
    <w:p>
      <w:pPr>
        <w:pStyle w:val="4"/>
        <w:spacing w:before="166" w:line="360" w:lineRule="auto"/>
        <w:ind w:right="359" w:firstLine="48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企业内部有利于改进和创新环境的建立，使企业产品质量、服务以及内部管理有了新的提高，品牌效益初步显现，奠定了</w:t>
      </w:r>
      <w:r>
        <w:rPr>
          <w:rFonts w:hint="eastAsia" w:cs="宋体"/>
          <w:sz w:val="24"/>
          <w:szCs w:val="24"/>
          <w:highlight w:val="none"/>
          <w:lang w:eastAsia="zh-CN"/>
        </w:rPr>
        <w:t>益大</w:t>
      </w:r>
      <w:r>
        <w:rPr>
          <w:rFonts w:hint="eastAsia" w:ascii="宋体" w:hAnsi="宋体" w:eastAsia="宋体" w:cs="宋体"/>
          <w:sz w:val="24"/>
          <w:szCs w:val="24"/>
          <w:highlight w:val="none"/>
        </w:rPr>
        <w:t>品牌中国</w:t>
      </w:r>
      <w:r>
        <w:rPr>
          <w:rFonts w:hint="eastAsia" w:cs="宋体"/>
          <w:sz w:val="24"/>
          <w:szCs w:val="24"/>
          <w:highlight w:val="none"/>
          <w:lang w:eastAsia="zh-CN"/>
        </w:rPr>
        <w:t>不锈钢管件行业</w:t>
      </w:r>
      <w:r>
        <w:rPr>
          <w:rFonts w:hint="eastAsia" w:ascii="宋体" w:hAnsi="宋体" w:eastAsia="宋体" w:cs="宋体"/>
          <w:sz w:val="24"/>
          <w:szCs w:val="24"/>
          <w:highlight w:val="none"/>
        </w:rPr>
        <w:t>的领先地位。</w:t>
      </w:r>
    </w:p>
    <w:p>
      <w:pPr>
        <w:pStyle w:val="4"/>
        <w:spacing w:before="166" w:line="360" w:lineRule="auto"/>
        <w:ind w:right="359"/>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3）营造快速反应的环境</w:t>
      </w:r>
    </w:p>
    <w:p>
      <w:pPr>
        <w:pStyle w:val="4"/>
        <w:spacing w:before="166" w:line="360" w:lineRule="auto"/>
        <w:ind w:right="359" w:firstLine="480"/>
        <w:jc w:val="both"/>
        <w:rPr>
          <w:rFonts w:hint="eastAsia" w:ascii="宋体" w:hAnsi="宋体" w:eastAsia="宋体" w:cs="宋体"/>
          <w:sz w:val="24"/>
          <w:szCs w:val="24"/>
          <w:highlight w:val="none"/>
        </w:rPr>
      </w:pPr>
      <w:r>
        <w:rPr>
          <w:rFonts w:hint="eastAsia" w:cs="宋体"/>
          <w:sz w:val="24"/>
          <w:szCs w:val="24"/>
          <w:highlight w:val="none"/>
          <w:lang w:eastAsia="zh-CN"/>
        </w:rPr>
        <w:t>益大</w:t>
      </w:r>
      <w:r>
        <w:rPr>
          <w:rFonts w:hint="eastAsia" w:ascii="宋体" w:hAnsi="宋体" w:eastAsia="宋体" w:cs="宋体"/>
          <w:sz w:val="24"/>
          <w:szCs w:val="24"/>
          <w:highlight w:val="none"/>
        </w:rPr>
        <w:t>秉持“反应迅速、计划周密、执行有力”的行事理念高效处理各项事务。高层领导以顾客和市场、员工为中心，推行“快速反应”的管理原则，建立快速反应机制。</w:t>
      </w:r>
    </w:p>
    <w:p>
      <w:pPr>
        <w:pStyle w:val="4"/>
        <w:spacing w:before="166" w:line="360" w:lineRule="auto"/>
        <w:ind w:right="359" w:firstLine="48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对于内部员工，建立覆盖各种紧急情况的应急预案，并开展应急演练，培育员工的危机处理意识和能力，实现对意外情况的快速处理，例如顾客投诉应急处理预案、火灾、停电等紧急处理预案等。</w:t>
      </w:r>
    </w:p>
    <w:p>
      <w:pPr>
        <w:pStyle w:val="4"/>
        <w:spacing w:before="166" w:line="360" w:lineRule="auto"/>
        <w:ind w:right="359" w:firstLine="48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在组织结构方面，建立扁平化的组织结构，通过缩短指令向下传达或信息向上传递的层级，提升组织的响应速度，通过构建信息化办公系统，为实现将财务、销售、采购、物流、生产等核心业务实现一体化管理，持续高效运营，识别和开发并及时、准确的获取相关信息和知识资源，通过企业微信号、QC小组、TPM、项目攻关等方式，实现信息资源有效传递和应用，科学、高效的资源管理成为公司持续、稳定发展，以及提升核心竞争的有力保障。</w:t>
      </w:r>
    </w:p>
    <w:p>
      <w:pPr>
        <w:pStyle w:val="4"/>
        <w:spacing w:before="166" w:line="360" w:lineRule="auto"/>
        <w:ind w:right="359" w:firstLine="48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在工作方面，通过优化业务流程，引进先进的软硬件和技术人才，提升新品的开发速度。目前，公司新产品开发速度在业内处于领先水平。针对外部事件，及时进行危机处理，召开营销会议等活动进行应急战略、战术调整，高效对各环境变化做出反应。</w:t>
      </w:r>
    </w:p>
    <w:p>
      <w:pPr>
        <w:pStyle w:val="4"/>
        <w:spacing w:before="166" w:line="360" w:lineRule="auto"/>
        <w:ind w:right="359"/>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4）营造全员学习的环境</w:t>
      </w:r>
    </w:p>
    <w:p>
      <w:pPr>
        <w:pStyle w:val="4"/>
        <w:spacing w:before="166" w:line="360" w:lineRule="auto"/>
        <w:ind w:right="359" w:firstLine="48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公司领导非常重视员工的培训和学习，积极建设学习型组织，构建了“多层级培训发展体系”，针对高层、中层、基层、专业人员、新员工等开展丰富多样的培训活动。并采用外派与内训、线上线下相结合方式给予员工最全面、便捷的学习途径。为了创造一个更好的环境，公司配备了先进的多媒体教学设施，宽敞舒适的学习环境，完善的培训教学的软件资源。</w:t>
      </w:r>
    </w:p>
    <w:p>
      <w:pPr>
        <w:pStyle w:val="4"/>
        <w:spacing w:before="166" w:line="360" w:lineRule="auto"/>
        <w:ind w:right="359" w:firstLine="48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为保证准确的识别培训需求、制定并实施培训计划，公司每年发放《公司员工培训需求调查表》，以此收集各部门员工的培训需求，并以此制定培训计划。依据总体培训规划，公司明确了分级培训体系，分别针对高管人员、中层人员和基层人员确定相应的培训内容及培训方式，使得培训项目的实施更加符合公司整体战略发展规划。</w:t>
      </w:r>
    </w:p>
    <w:p>
      <w:pPr>
        <w:pStyle w:val="4"/>
        <w:spacing w:before="166" w:line="360" w:lineRule="auto"/>
        <w:ind w:right="359" w:firstLine="48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图表</w:t>
      </w:r>
      <w:r>
        <w:rPr>
          <w:rFonts w:hint="eastAsia" w:ascii="宋体" w:hAnsi="宋体" w:eastAsia="宋体" w:cs="宋体"/>
          <w:sz w:val="24"/>
          <w:szCs w:val="24"/>
          <w:highlight w:val="none"/>
          <w:lang w:val="en-US"/>
        </w:rPr>
        <w:t>2</w:t>
      </w:r>
      <w:r>
        <w:rPr>
          <w:rFonts w:hint="eastAsia" w:ascii="宋体" w:hAnsi="宋体" w:eastAsia="宋体" w:cs="宋体"/>
          <w:sz w:val="24"/>
          <w:szCs w:val="24"/>
          <w:highlight w:val="none"/>
        </w:rPr>
        <w:t>.1-</w:t>
      </w: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SEQ 图表4.1- \* ARABIC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5</w:t>
      </w:r>
      <w:r>
        <w:rPr>
          <w:rFonts w:hint="eastAsia" w:ascii="宋体" w:hAnsi="宋体" w:eastAsia="宋体" w:cs="宋体"/>
          <w:sz w:val="24"/>
          <w:szCs w:val="24"/>
          <w:highlight w:val="none"/>
        </w:rPr>
        <w:fldChar w:fldCharType="end"/>
      </w:r>
      <w:r>
        <w:rPr>
          <w:rFonts w:hint="eastAsia" w:ascii="宋体" w:hAnsi="宋体" w:eastAsia="宋体" w:cs="宋体"/>
          <w:sz w:val="24"/>
          <w:szCs w:val="24"/>
          <w:highlight w:val="none"/>
        </w:rPr>
        <w:t xml:space="preserve">  培训层级体系表</w:t>
      </w:r>
    </w:p>
    <w:tbl>
      <w:tblPr>
        <w:tblStyle w:val="11"/>
        <w:tblW w:w="89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7"/>
        <w:gridCol w:w="4762"/>
        <w:gridCol w:w="2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0" w:hRule="atLeast"/>
          <w:tblHeader/>
          <w:jc w:val="center"/>
        </w:trPr>
        <w:tc>
          <w:tcPr>
            <w:tcW w:w="1277" w:type="dxa"/>
            <w:shd w:val="clear" w:color="auto" w:fill="548DD4" w:themeFill="text2" w:themeFillTint="99"/>
            <w:vAlign w:val="center"/>
          </w:tcPr>
          <w:p>
            <w:pPr>
              <w:spacing w:line="240" w:lineRule="auto"/>
              <w:jc w:val="center"/>
              <w:rPr>
                <w:rFonts w:hint="eastAsia" w:ascii="宋体" w:hAnsi="宋体" w:eastAsia="宋体" w:cs="宋体"/>
                <w:b/>
                <w:sz w:val="24"/>
                <w:szCs w:val="24"/>
                <w:highlight w:val="none"/>
              </w:rPr>
            </w:pPr>
            <w:r>
              <w:rPr>
                <w:rFonts w:hint="eastAsia" w:ascii="宋体" w:hAnsi="宋体" w:eastAsia="宋体" w:cs="宋体"/>
                <w:b/>
                <w:sz w:val="24"/>
                <w:szCs w:val="24"/>
                <w:highlight w:val="none"/>
              </w:rPr>
              <w:t>培训级别</w:t>
            </w:r>
          </w:p>
        </w:tc>
        <w:tc>
          <w:tcPr>
            <w:tcW w:w="4762" w:type="dxa"/>
            <w:shd w:val="clear" w:color="auto" w:fill="548DD4" w:themeFill="text2" w:themeFillTint="99"/>
            <w:vAlign w:val="center"/>
          </w:tcPr>
          <w:p>
            <w:pPr>
              <w:spacing w:line="240" w:lineRule="auto"/>
              <w:jc w:val="center"/>
              <w:rPr>
                <w:rFonts w:hint="eastAsia" w:ascii="宋体" w:hAnsi="宋体" w:eastAsia="宋体" w:cs="宋体"/>
                <w:b/>
                <w:sz w:val="24"/>
                <w:szCs w:val="24"/>
                <w:highlight w:val="none"/>
              </w:rPr>
            </w:pPr>
            <w:r>
              <w:rPr>
                <w:rFonts w:hint="eastAsia" w:ascii="宋体" w:hAnsi="宋体" w:eastAsia="宋体" w:cs="宋体"/>
                <w:b/>
                <w:sz w:val="24"/>
                <w:szCs w:val="24"/>
                <w:highlight w:val="none"/>
              </w:rPr>
              <w:t>主要培训内容</w:t>
            </w:r>
          </w:p>
        </w:tc>
        <w:tc>
          <w:tcPr>
            <w:tcW w:w="2945" w:type="dxa"/>
            <w:shd w:val="clear" w:color="auto" w:fill="548DD4" w:themeFill="text2" w:themeFillTint="99"/>
            <w:vAlign w:val="center"/>
          </w:tcPr>
          <w:p>
            <w:pPr>
              <w:spacing w:line="240" w:lineRule="auto"/>
              <w:jc w:val="center"/>
              <w:rPr>
                <w:rFonts w:hint="eastAsia" w:ascii="宋体" w:hAnsi="宋体" w:eastAsia="宋体" w:cs="宋体"/>
                <w:b/>
                <w:sz w:val="24"/>
                <w:szCs w:val="24"/>
                <w:highlight w:val="none"/>
              </w:rPr>
            </w:pPr>
            <w:r>
              <w:rPr>
                <w:rFonts w:hint="eastAsia" w:ascii="宋体" w:hAnsi="宋体" w:eastAsia="宋体" w:cs="宋体"/>
                <w:b/>
                <w:sz w:val="24"/>
                <w:szCs w:val="24"/>
                <w:highlight w:val="none"/>
              </w:rPr>
              <w:t>培训方式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jc w:val="center"/>
        </w:trPr>
        <w:tc>
          <w:tcPr>
            <w:tcW w:w="1277" w:type="dxa"/>
            <w:shd w:val="clear" w:color="auto" w:fill="F2F2F2"/>
            <w:vAlign w:val="center"/>
          </w:tcPr>
          <w:p>
            <w:pPr>
              <w:spacing w:line="24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高管人员</w:t>
            </w:r>
          </w:p>
        </w:tc>
        <w:tc>
          <w:tcPr>
            <w:tcW w:w="4762" w:type="dxa"/>
            <w:shd w:val="clear" w:color="auto" w:fill="F2F2F2"/>
            <w:vAlign w:val="center"/>
          </w:tcPr>
          <w:p>
            <w:pPr>
              <w:spacing w:line="24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侧重于观念、理念方面，此外还有市场经济所要求的系统管理理论和技能，如管理学、组织行为学、市场营销、企业经营战略、企业经营过程控制、领导科学与艺术等。</w:t>
            </w:r>
          </w:p>
        </w:tc>
        <w:tc>
          <w:tcPr>
            <w:tcW w:w="2945" w:type="dxa"/>
            <w:shd w:val="clear" w:color="auto" w:fill="F2F2F2"/>
            <w:vAlign w:val="center"/>
          </w:tcPr>
          <w:p>
            <w:pPr>
              <w:spacing w:line="24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以外派培训为主。诸如，有计划地安排高层管理者参加MBA学习、总裁高级研修班、高级论坛、赴外地考察等等。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1277" w:type="dxa"/>
            <w:shd w:val="clear" w:color="auto" w:fill="F2F2F2"/>
            <w:vAlign w:val="center"/>
          </w:tcPr>
          <w:p>
            <w:pPr>
              <w:spacing w:line="24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中层人员</w:t>
            </w:r>
          </w:p>
        </w:tc>
        <w:tc>
          <w:tcPr>
            <w:tcW w:w="4762" w:type="dxa"/>
            <w:shd w:val="clear" w:color="auto" w:fill="F2F2F2"/>
            <w:vAlign w:val="center"/>
          </w:tcPr>
          <w:p>
            <w:pPr>
              <w:spacing w:line="24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管理基本知识与技能：管理学、组织行为学、人力资源开发与管理、市场学、领导科学与艺术等课程。</w:t>
            </w:r>
          </w:p>
          <w:p>
            <w:pPr>
              <w:spacing w:line="24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业务知识与技能：负责的业务领域如技术、销售等领域的知识与技能。</w:t>
            </w:r>
          </w:p>
          <w:p>
            <w:pPr>
              <w:spacing w:line="24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工作改进：工作分配、工作方法的改进、工作流程的改进。</w:t>
            </w:r>
          </w:p>
        </w:tc>
        <w:tc>
          <w:tcPr>
            <w:tcW w:w="2945" w:type="dxa"/>
            <w:shd w:val="clear" w:color="auto" w:fill="F2F2F2"/>
            <w:vAlign w:val="center"/>
          </w:tcPr>
          <w:p>
            <w:pPr>
              <w:spacing w:line="24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以公司内训为主，外训为辅。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1277" w:type="dxa"/>
            <w:shd w:val="clear" w:color="auto" w:fill="F2F2F2"/>
            <w:vAlign w:val="center"/>
          </w:tcPr>
          <w:p>
            <w:pPr>
              <w:spacing w:line="24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基层人员</w:t>
            </w:r>
          </w:p>
        </w:tc>
        <w:tc>
          <w:tcPr>
            <w:tcW w:w="4762" w:type="dxa"/>
            <w:shd w:val="clear" w:color="auto" w:fill="F2F2F2"/>
            <w:vAlign w:val="center"/>
          </w:tcPr>
          <w:p>
            <w:pPr>
              <w:spacing w:line="24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针对在岗员工岗位职责、专业技能、操作规程、业务流程等进行反复强化培训，以使员工在充分掌握理论的基础上，能自由地应用、发挥、提高。</w:t>
            </w:r>
          </w:p>
        </w:tc>
        <w:tc>
          <w:tcPr>
            <w:tcW w:w="2945" w:type="dxa"/>
            <w:shd w:val="clear" w:color="auto" w:fill="F2F2F2"/>
            <w:vAlign w:val="center"/>
          </w:tcPr>
          <w:p>
            <w:pPr>
              <w:spacing w:line="24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参考中层管理人员。</w:t>
            </w:r>
          </w:p>
        </w:tc>
      </w:tr>
    </w:tbl>
    <w:p>
      <w:pPr>
        <w:pStyle w:val="4"/>
        <w:spacing w:before="166" w:line="360" w:lineRule="auto"/>
        <w:ind w:right="359" w:firstLine="48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此外，公司还注重员工自我学习氛围的构建，强调员工在工作之余不断自我学习的重要性，以此培育“与时俱进”的学习文化。</w:t>
      </w:r>
    </w:p>
    <w:p>
      <w:pPr>
        <w:pStyle w:val="4"/>
        <w:spacing w:before="166" w:line="360" w:lineRule="auto"/>
        <w:ind w:right="359"/>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d）履行确保组织所提供产品和服务质量安全的责任</w:t>
      </w:r>
    </w:p>
    <w:p>
      <w:pPr>
        <w:pStyle w:val="4"/>
        <w:spacing w:before="166" w:line="360" w:lineRule="auto"/>
        <w:ind w:right="359" w:firstLine="48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在</w:t>
      </w:r>
      <w:r>
        <w:rPr>
          <w:rFonts w:hint="eastAsia" w:cs="宋体"/>
          <w:sz w:val="24"/>
          <w:szCs w:val="24"/>
          <w:highlight w:val="none"/>
          <w:lang w:val="en-US" w:eastAsia="zh-CN"/>
        </w:rPr>
        <w:t>管件</w:t>
      </w:r>
      <w:r>
        <w:rPr>
          <w:rFonts w:hint="eastAsia" w:ascii="宋体" w:hAnsi="宋体" w:eastAsia="宋体" w:cs="宋体"/>
          <w:sz w:val="24"/>
          <w:szCs w:val="24"/>
          <w:highlight w:val="none"/>
        </w:rPr>
        <w:t>领域，产品品质、技术创新有着同等重要的位置，追求卓越的产品品质和领先的研发技术是一条漫长的道路。</w:t>
      </w:r>
      <w:r>
        <w:rPr>
          <w:rFonts w:hint="eastAsia" w:cs="宋体"/>
          <w:sz w:val="24"/>
          <w:szCs w:val="24"/>
          <w:highlight w:val="none"/>
          <w:lang w:eastAsia="zh-CN"/>
        </w:rPr>
        <w:t>益大</w:t>
      </w:r>
      <w:r>
        <w:rPr>
          <w:rFonts w:hint="eastAsia" w:ascii="宋体" w:hAnsi="宋体" w:eastAsia="宋体" w:cs="宋体"/>
          <w:sz w:val="24"/>
          <w:szCs w:val="24"/>
          <w:highlight w:val="none"/>
        </w:rPr>
        <w:t>在三十多年的坚持不懈中，高层领导始终坚持完善服务体系，努力提高产品品质，以市场规律为依据立足市场，在质和量的矛盾面前，确保产品质量再扩大产量、规模，以品质取胜。</w:t>
      </w:r>
    </w:p>
    <w:p>
      <w:pPr>
        <w:pStyle w:val="4"/>
        <w:spacing w:before="166" w:line="360" w:lineRule="auto"/>
        <w:ind w:right="359" w:firstLine="48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为履行确保组织所提供产品和服务的质量安全的职责，引导组织承担质量安全主体责任，公司从价值链角度对包括设计开发、采购、生产、质量管理、销售等涉及产品和服务质量安全的过程进行了梳理、识别和分析，并根据创新与效率原则对过程进行设计，充分运用绩效系统对过程的实施进行监控，关注过程输入与输出，持续改进，形成有效的PDCA循环。为了保证所设计的流程能够有效的执行，公司针对每一过程分别制定操作说明书，并定期进行考核与监控。</w:t>
      </w:r>
    </w:p>
    <w:p>
      <w:pPr>
        <w:pStyle w:val="4"/>
        <w:spacing w:before="166" w:line="360" w:lineRule="auto"/>
        <w:ind w:right="359" w:firstLine="48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公司内部导入并运行</w:t>
      </w:r>
      <w:r>
        <w:rPr>
          <w:rFonts w:hint="eastAsia" w:cs="宋体"/>
          <w:sz w:val="24"/>
          <w:szCs w:val="24"/>
          <w:highlight w:val="none"/>
          <w:lang w:eastAsia="zh-CN"/>
        </w:rPr>
        <w:t>GB/T19001</w:t>
      </w:r>
      <w:r>
        <w:rPr>
          <w:rFonts w:hint="eastAsia" w:ascii="宋体" w:hAnsi="宋体" w:eastAsia="宋体" w:cs="宋体"/>
          <w:sz w:val="24"/>
          <w:szCs w:val="24"/>
          <w:highlight w:val="none"/>
        </w:rPr>
        <w:t>质量管理体系，以质取胜，以创新拓市场，成为行业之标杆。在履行确保组织所提供产品和服务质量安全的责任方面，公司在原料采购上对各原材料实施订单协议收购，强化对采购原材料的检验及质量全过程控制。</w:t>
      </w:r>
    </w:p>
    <w:p>
      <w:pPr>
        <w:pStyle w:val="4"/>
        <w:spacing w:before="166" w:line="360" w:lineRule="auto"/>
        <w:ind w:right="359" w:firstLine="48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在产品自主创新方面，公司内部成立了企业技术</w:t>
      </w:r>
      <w:r>
        <w:rPr>
          <w:rFonts w:hint="eastAsia" w:cs="宋体"/>
          <w:sz w:val="24"/>
          <w:szCs w:val="24"/>
          <w:highlight w:val="none"/>
          <w:lang w:eastAsia="zh-CN"/>
        </w:rPr>
        <w:t>研发</w:t>
      </w:r>
      <w:r>
        <w:rPr>
          <w:rFonts w:hint="eastAsia" w:ascii="宋体" w:hAnsi="宋体" w:eastAsia="宋体" w:cs="宋体"/>
          <w:sz w:val="24"/>
          <w:szCs w:val="24"/>
          <w:highlight w:val="none"/>
        </w:rPr>
        <w:t>中心，致力于</w:t>
      </w:r>
      <w:r>
        <w:rPr>
          <w:rFonts w:hint="eastAsia" w:cs="宋体"/>
          <w:sz w:val="24"/>
          <w:szCs w:val="24"/>
          <w:highlight w:val="none"/>
          <w:lang w:val="en-US" w:eastAsia="zh-CN"/>
        </w:rPr>
        <w:t>流体输送管件</w:t>
      </w:r>
      <w:r>
        <w:rPr>
          <w:rFonts w:hint="eastAsia" w:ascii="宋体" w:hAnsi="宋体" w:eastAsia="宋体" w:cs="宋体"/>
          <w:sz w:val="24"/>
          <w:szCs w:val="24"/>
          <w:highlight w:val="none"/>
        </w:rPr>
        <w:t>的研发创新，获得多项国家专利。</w:t>
      </w:r>
    </w:p>
    <w:p>
      <w:pPr>
        <w:pStyle w:val="4"/>
        <w:spacing w:before="166" w:line="360" w:lineRule="auto"/>
        <w:ind w:right="359" w:firstLine="48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此外，公司完善的质量控制管理体系有效保证了产品质量的稳定，已制定了多项具体的质量控制措施，涵盖了从产品设计、原材料采购、产品制造、产品检验、性能测试、包装储运到客户服务等全过程等各个环节，对各部门的质量控制工作进行有效的指导和监督；同时，公司以满足客户要求作为标准，由各专门部门负责，认真抓好产品质量的持续改进工作。</w:t>
      </w:r>
    </w:p>
    <w:p>
      <w:pPr>
        <w:pStyle w:val="4"/>
        <w:spacing w:before="166" w:line="360" w:lineRule="auto"/>
        <w:ind w:right="359"/>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e）推进品牌建设，提高产品质量和服务水平</w:t>
      </w:r>
    </w:p>
    <w:p>
      <w:pPr>
        <w:pStyle w:val="4"/>
        <w:spacing w:before="166" w:line="360" w:lineRule="auto"/>
        <w:ind w:right="359" w:firstLine="48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为推进品牌建设，公司依据发展战略目标，制定了相应的品牌发展规划，通过积极参与行业协会活动、主导行业标准制定、加大技术创新投入、完善渠道建设及售后服务等方式不断提高产品质量和服务水平。</w:t>
      </w:r>
    </w:p>
    <w:p>
      <w:pPr>
        <w:pStyle w:val="4"/>
        <w:spacing w:before="166" w:line="360" w:lineRule="auto"/>
        <w:ind w:right="359"/>
        <w:jc w:val="both"/>
        <w:rPr>
          <w:rFonts w:hint="eastAsia" w:ascii="宋体" w:hAnsi="宋体" w:eastAsia="宋体" w:cs="宋体"/>
          <w:b/>
          <w:bCs/>
          <w:sz w:val="24"/>
          <w:szCs w:val="24"/>
          <w:highlight w:val="none"/>
        </w:rPr>
      </w:pPr>
    </w:p>
    <w:p>
      <w:pPr>
        <w:pStyle w:val="4"/>
        <w:spacing w:before="166" w:line="360" w:lineRule="auto"/>
        <w:ind w:right="359"/>
        <w:jc w:val="both"/>
        <w:rPr>
          <w:rFonts w:hint="eastAsia" w:ascii="宋体" w:hAnsi="宋体" w:eastAsia="宋体" w:cs="宋体"/>
          <w:b/>
          <w:bCs/>
          <w:sz w:val="24"/>
          <w:szCs w:val="24"/>
          <w:highlight w:val="none"/>
        </w:rPr>
      </w:pPr>
    </w:p>
    <w:p>
      <w:pPr>
        <w:pStyle w:val="4"/>
        <w:spacing w:before="166" w:line="360" w:lineRule="auto"/>
        <w:ind w:right="359"/>
        <w:jc w:val="both"/>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以品牌为基础，推进文化出口</w:t>
      </w:r>
    </w:p>
    <w:p>
      <w:pPr>
        <w:pStyle w:val="4"/>
        <w:spacing w:before="166" w:line="360" w:lineRule="auto"/>
        <w:ind w:right="359" w:firstLine="480"/>
        <w:jc w:val="both"/>
        <w:rPr>
          <w:rFonts w:hint="eastAsia" w:ascii="宋体" w:hAnsi="宋体" w:eastAsia="宋体" w:cs="宋体"/>
          <w:sz w:val="24"/>
          <w:szCs w:val="24"/>
          <w:highlight w:val="yellow"/>
        </w:rPr>
      </w:pPr>
      <w:r>
        <w:rPr>
          <w:rFonts w:hint="eastAsia" w:ascii="宋体" w:hAnsi="宋体" w:eastAsia="宋体" w:cs="宋体"/>
          <w:sz w:val="24"/>
          <w:szCs w:val="24"/>
          <w:highlight w:val="none"/>
        </w:rPr>
        <w:t>公司成立之初便创建了自己的品牌“</w:t>
      </w:r>
      <w:r>
        <w:rPr>
          <w:rFonts w:hint="eastAsia" w:cs="宋体"/>
          <w:sz w:val="24"/>
          <w:szCs w:val="24"/>
          <w:highlight w:val="none"/>
          <w:lang w:eastAsia="zh-CN"/>
        </w:rPr>
        <w:t>益大</w:t>
      </w:r>
      <w:r>
        <w:rPr>
          <w:rFonts w:hint="eastAsia" w:ascii="宋体" w:hAnsi="宋体" w:eastAsia="宋体" w:cs="宋体"/>
          <w:sz w:val="24"/>
          <w:szCs w:val="24"/>
          <w:highlight w:val="none"/>
        </w:rPr>
        <w:t>” ，一直致力于走自主品牌建设之路。公司在品牌建设方面下足了功夫，目标要打造</w:t>
      </w:r>
      <w:r>
        <w:rPr>
          <w:rFonts w:hint="eastAsia" w:cs="宋体"/>
          <w:sz w:val="24"/>
          <w:szCs w:val="24"/>
          <w:highlight w:val="none"/>
          <w:lang w:eastAsia="zh-CN"/>
        </w:rPr>
        <w:t>“国内一流的不锈钢管件企业”</w:t>
      </w:r>
      <w:r>
        <w:rPr>
          <w:rFonts w:hint="eastAsia" w:ascii="宋体" w:hAnsi="宋体" w:eastAsia="宋体" w:cs="宋体"/>
          <w:sz w:val="24"/>
          <w:szCs w:val="24"/>
          <w:highlight w:val="none"/>
        </w:rPr>
        <w:t>，能够提供</w:t>
      </w:r>
      <w:r>
        <w:rPr>
          <w:rFonts w:hint="eastAsia" w:cs="宋体"/>
          <w:sz w:val="24"/>
          <w:szCs w:val="24"/>
          <w:highlight w:val="none"/>
          <w:lang w:eastAsia="zh-CN"/>
        </w:rPr>
        <w:t>品质优异和个性鲜明的产品和服务</w:t>
      </w:r>
      <w:r>
        <w:rPr>
          <w:rFonts w:hint="eastAsia" w:ascii="宋体" w:hAnsi="宋体" w:eastAsia="宋体" w:cs="宋体"/>
          <w:sz w:val="24"/>
          <w:szCs w:val="24"/>
          <w:highlight w:val="none"/>
        </w:rPr>
        <w:t>。</w:t>
      </w:r>
    </w:p>
    <w:p>
      <w:pPr>
        <w:pStyle w:val="4"/>
        <w:spacing w:before="166" w:line="360" w:lineRule="auto"/>
        <w:ind w:right="359"/>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f）强化风险意识以推动组织持续经营，积极培养组织未来的领导者</w:t>
      </w:r>
    </w:p>
    <w:p>
      <w:pPr>
        <w:pStyle w:val="4"/>
        <w:spacing w:before="166" w:line="360" w:lineRule="auto"/>
        <w:ind w:right="359"/>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1）提升风险管理意识，推动组织持续经营</w:t>
      </w:r>
    </w:p>
    <w:p>
      <w:pPr>
        <w:pStyle w:val="4"/>
        <w:spacing w:before="166" w:line="360" w:lineRule="auto"/>
        <w:ind w:right="359" w:firstLine="48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公司创立至今，在取得众多成就的同时，不断强化风险意识，推动组织的持续经营。为此，公司经营管理团队严格把控各部门工作中可能存在的风险点，</w:t>
      </w:r>
      <w:r>
        <w:rPr>
          <w:rFonts w:hint="eastAsia" w:ascii="宋体" w:hAnsi="宋体" w:eastAsia="宋体" w:cs="宋体"/>
          <w:color w:val="0D0D0D"/>
          <w:sz w:val="24"/>
          <w:szCs w:val="24"/>
          <w:highlight w:val="none"/>
        </w:rPr>
        <w:t>密切关注外部环境中的潜在风险因素，积极采取风险预防措施，在国家政策、市场需求、产品质量、财务资金、运营管理等方面严格推行风险监测与保持风险敏感性，高层领导不断向公司各级员工灌输风险意识，强调市场竞争的残酷性及环境的复杂性，最小化各种潜在风险对公司的影响。在内部运营风险管理方面，公司对主要内部运营风险评价指标进行识别并采取预防措施，如财务管理每年定期对应收账款进行动态跟踪与管理，防范呆账和坏账风险</w:t>
      </w:r>
      <w:r>
        <w:rPr>
          <w:rFonts w:hint="eastAsia" w:ascii="宋体" w:hAnsi="宋体" w:eastAsia="宋体" w:cs="宋体"/>
          <w:sz w:val="24"/>
          <w:szCs w:val="24"/>
          <w:highlight w:val="none"/>
        </w:rPr>
        <w:t>。</w:t>
      </w:r>
    </w:p>
    <w:p>
      <w:pPr>
        <w:pStyle w:val="4"/>
        <w:spacing w:before="166" w:line="360" w:lineRule="auto"/>
        <w:ind w:right="359" w:firstLine="48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图表</w:t>
      </w:r>
      <w:r>
        <w:rPr>
          <w:rFonts w:hint="eastAsia" w:ascii="宋体" w:hAnsi="宋体" w:eastAsia="宋体" w:cs="宋体"/>
          <w:sz w:val="24"/>
          <w:szCs w:val="24"/>
          <w:highlight w:val="none"/>
          <w:lang w:val="en-US"/>
        </w:rPr>
        <w:t>2</w:t>
      </w:r>
      <w:r>
        <w:rPr>
          <w:rFonts w:hint="eastAsia" w:ascii="宋体" w:hAnsi="宋体" w:eastAsia="宋体" w:cs="宋体"/>
          <w:sz w:val="24"/>
          <w:szCs w:val="24"/>
          <w:highlight w:val="none"/>
        </w:rPr>
        <w:t>.1-</w:t>
      </w: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SEQ 图表4.1- \* ARABIC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6</w:t>
      </w:r>
      <w:r>
        <w:rPr>
          <w:rFonts w:hint="eastAsia" w:ascii="宋体" w:hAnsi="宋体" w:eastAsia="宋体" w:cs="宋体"/>
          <w:sz w:val="24"/>
          <w:szCs w:val="24"/>
          <w:highlight w:val="none"/>
        </w:rPr>
        <w:fldChar w:fldCharType="end"/>
      </w:r>
      <w:r>
        <w:rPr>
          <w:rFonts w:hint="eastAsia" w:ascii="宋体" w:hAnsi="宋体" w:eastAsia="宋体" w:cs="宋体"/>
          <w:sz w:val="24"/>
          <w:szCs w:val="24"/>
          <w:highlight w:val="none"/>
        </w:rPr>
        <w:t xml:space="preserve"> </w:t>
      </w:r>
      <w:r>
        <w:rPr>
          <w:rFonts w:hint="eastAsia" w:cs="宋体"/>
          <w:sz w:val="24"/>
          <w:szCs w:val="24"/>
          <w:highlight w:val="none"/>
          <w:lang w:eastAsia="zh-CN"/>
        </w:rPr>
        <w:t>益大</w:t>
      </w:r>
      <w:r>
        <w:rPr>
          <w:rFonts w:hint="eastAsia" w:ascii="宋体" w:hAnsi="宋体" w:eastAsia="宋体" w:cs="宋体"/>
          <w:sz w:val="24"/>
          <w:szCs w:val="24"/>
          <w:highlight w:val="none"/>
        </w:rPr>
        <w:t>风险管理所采取的行动示例</w:t>
      </w:r>
    </w:p>
    <w:tbl>
      <w:tblPr>
        <w:tblStyle w:val="11"/>
        <w:tblW w:w="900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79"/>
        <w:gridCol w:w="1840"/>
        <w:gridCol w:w="2551"/>
        <w:gridCol w:w="39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0" w:hRule="atLeast"/>
          <w:tblHeader/>
          <w:jc w:val="center"/>
        </w:trPr>
        <w:tc>
          <w:tcPr>
            <w:tcW w:w="679" w:type="dxa"/>
            <w:shd w:val="clear" w:color="auto" w:fill="548DD4" w:themeFill="text2" w:themeFillTint="99"/>
            <w:vAlign w:val="center"/>
          </w:tcPr>
          <w:p>
            <w:pPr>
              <w:snapToGrid w:val="0"/>
              <w:spacing w:line="240" w:lineRule="auto"/>
              <w:jc w:val="center"/>
              <w:rPr>
                <w:rFonts w:hint="eastAsia" w:ascii="宋体" w:hAnsi="宋体" w:eastAsia="宋体" w:cs="宋体"/>
                <w:b/>
                <w:sz w:val="24"/>
                <w:szCs w:val="24"/>
                <w:highlight w:val="none"/>
              </w:rPr>
            </w:pPr>
            <w:r>
              <w:rPr>
                <w:rFonts w:hint="eastAsia" w:ascii="宋体" w:hAnsi="宋体" w:eastAsia="宋体" w:cs="宋体"/>
                <w:b/>
                <w:sz w:val="24"/>
                <w:szCs w:val="24"/>
                <w:highlight w:val="none"/>
              </w:rPr>
              <w:t>风险类型</w:t>
            </w:r>
          </w:p>
        </w:tc>
        <w:tc>
          <w:tcPr>
            <w:tcW w:w="1840" w:type="dxa"/>
            <w:shd w:val="clear" w:color="auto" w:fill="548DD4" w:themeFill="text2" w:themeFillTint="99"/>
            <w:vAlign w:val="center"/>
          </w:tcPr>
          <w:p>
            <w:pPr>
              <w:snapToGrid w:val="0"/>
              <w:spacing w:line="240" w:lineRule="auto"/>
              <w:jc w:val="center"/>
              <w:rPr>
                <w:rFonts w:hint="eastAsia" w:ascii="宋体" w:hAnsi="宋体" w:eastAsia="宋体" w:cs="宋体"/>
                <w:b/>
                <w:sz w:val="24"/>
                <w:szCs w:val="24"/>
                <w:highlight w:val="none"/>
              </w:rPr>
            </w:pPr>
            <w:r>
              <w:rPr>
                <w:rFonts w:hint="eastAsia" w:ascii="宋体" w:hAnsi="宋体" w:eastAsia="宋体" w:cs="宋体"/>
                <w:b/>
                <w:sz w:val="24"/>
                <w:szCs w:val="24"/>
                <w:highlight w:val="none"/>
              </w:rPr>
              <w:t>可能的负面影响</w:t>
            </w:r>
          </w:p>
        </w:tc>
        <w:tc>
          <w:tcPr>
            <w:tcW w:w="2551" w:type="dxa"/>
            <w:shd w:val="clear" w:color="auto" w:fill="548DD4" w:themeFill="text2" w:themeFillTint="99"/>
            <w:vAlign w:val="center"/>
          </w:tcPr>
          <w:p>
            <w:pPr>
              <w:snapToGrid w:val="0"/>
              <w:spacing w:line="240" w:lineRule="auto"/>
              <w:jc w:val="center"/>
              <w:rPr>
                <w:rFonts w:hint="eastAsia" w:ascii="宋体" w:hAnsi="宋体" w:eastAsia="宋体" w:cs="宋体"/>
                <w:b/>
                <w:sz w:val="24"/>
                <w:szCs w:val="24"/>
                <w:highlight w:val="none"/>
              </w:rPr>
            </w:pPr>
            <w:r>
              <w:rPr>
                <w:rFonts w:hint="eastAsia" w:ascii="宋体" w:hAnsi="宋体" w:eastAsia="宋体" w:cs="宋体"/>
                <w:b/>
                <w:sz w:val="24"/>
                <w:szCs w:val="24"/>
                <w:highlight w:val="none"/>
              </w:rPr>
              <w:t>导致风险的主要因素</w:t>
            </w:r>
          </w:p>
        </w:tc>
        <w:tc>
          <w:tcPr>
            <w:tcW w:w="3933" w:type="dxa"/>
            <w:shd w:val="clear" w:color="auto" w:fill="548DD4" w:themeFill="text2" w:themeFillTint="99"/>
            <w:vAlign w:val="center"/>
          </w:tcPr>
          <w:p>
            <w:pPr>
              <w:snapToGrid w:val="0"/>
              <w:spacing w:line="240" w:lineRule="auto"/>
              <w:jc w:val="center"/>
              <w:rPr>
                <w:rFonts w:hint="eastAsia" w:ascii="宋体" w:hAnsi="宋体" w:eastAsia="宋体" w:cs="宋体"/>
                <w:b/>
                <w:sz w:val="24"/>
                <w:szCs w:val="24"/>
                <w:highlight w:val="none"/>
              </w:rPr>
            </w:pPr>
            <w:r>
              <w:rPr>
                <w:rFonts w:hint="eastAsia" w:ascii="宋体" w:hAnsi="宋体" w:eastAsia="宋体" w:cs="宋体"/>
                <w:b/>
                <w:sz w:val="24"/>
                <w:szCs w:val="24"/>
                <w:highlight w:val="none"/>
              </w:rPr>
              <w:t>风险控制措施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79" w:type="dxa"/>
            <w:shd w:val="clear" w:color="auto" w:fill="F2F2F2"/>
            <w:vAlign w:val="center"/>
          </w:tcPr>
          <w:p>
            <w:pPr>
              <w:snapToGrid w:val="0"/>
              <w:spacing w:line="24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经营风险</w:t>
            </w:r>
          </w:p>
        </w:tc>
        <w:tc>
          <w:tcPr>
            <w:tcW w:w="1840" w:type="dxa"/>
            <w:shd w:val="clear" w:color="auto" w:fill="F2F2F2"/>
            <w:vAlign w:val="center"/>
          </w:tcPr>
          <w:p>
            <w:pPr>
              <w:snapToGrid w:val="0"/>
              <w:spacing w:line="24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经营决策失误导致公司经营问题</w:t>
            </w:r>
          </w:p>
        </w:tc>
        <w:tc>
          <w:tcPr>
            <w:tcW w:w="2551" w:type="dxa"/>
            <w:shd w:val="clear" w:color="auto" w:fill="F2F2F2"/>
            <w:vAlign w:val="center"/>
          </w:tcPr>
          <w:p>
            <w:pPr>
              <w:snapToGrid w:val="0"/>
              <w:spacing w:line="24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产业政策变化、市场分析与定位不准、战略决策过程不合理等</w:t>
            </w:r>
          </w:p>
        </w:tc>
        <w:tc>
          <w:tcPr>
            <w:tcW w:w="3933" w:type="dxa"/>
            <w:shd w:val="clear" w:color="auto" w:fill="F2F2F2"/>
            <w:vAlign w:val="center"/>
          </w:tcPr>
          <w:p>
            <w:pPr>
              <w:snapToGrid w:val="0"/>
              <w:spacing w:line="24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成立战略管理小组，完善战略管理流程，运用科学的战略分析与制定工具，确保战略落地；建立战略监控管理机制，定期动态调整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79" w:type="dxa"/>
            <w:shd w:val="clear" w:color="auto" w:fill="F2F2F2"/>
            <w:vAlign w:val="center"/>
          </w:tcPr>
          <w:p>
            <w:pPr>
              <w:snapToGrid w:val="0"/>
              <w:spacing w:line="24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财务风险</w:t>
            </w:r>
          </w:p>
        </w:tc>
        <w:tc>
          <w:tcPr>
            <w:tcW w:w="1840" w:type="dxa"/>
            <w:shd w:val="clear" w:color="auto" w:fill="F2F2F2"/>
            <w:vAlign w:val="center"/>
          </w:tcPr>
          <w:p>
            <w:pPr>
              <w:snapToGrid w:val="0"/>
              <w:spacing w:line="24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财务危机，影响收益，导致经营困境</w:t>
            </w:r>
          </w:p>
        </w:tc>
        <w:tc>
          <w:tcPr>
            <w:tcW w:w="2551" w:type="dxa"/>
            <w:shd w:val="clear" w:color="auto" w:fill="F2F2F2"/>
            <w:vAlign w:val="center"/>
          </w:tcPr>
          <w:p>
            <w:pPr>
              <w:snapToGrid w:val="0"/>
              <w:spacing w:line="24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税收、汇率等财务环境变化，投资、筹资措施不科学，资金回收与管理不善，分配政策不规范</w:t>
            </w:r>
          </w:p>
        </w:tc>
        <w:tc>
          <w:tcPr>
            <w:tcW w:w="3933" w:type="dxa"/>
            <w:shd w:val="clear" w:color="auto" w:fill="F2F2F2"/>
            <w:vAlign w:val="center"/>
          </w:tcPr>
          <w:p>
            <w:pPr>
              <w:snapToGrid w:val="0"/>
              <w:spacing w:line="24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建立完善的财务管理体系，健全全面预算管理、建立财务风险管控机制、不断提升资金周转率和使用效率等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79" w:type="dxa"/>
            <w:shd w:val="clear" w:color="auto" w:fill="F2F2F2"/>
            <w:vAlign w:val="center"/>
          </w:tcPr>
          <w:p>
            <w:pPr>
              <w:snapToGrid w:val="0"/>
              <w:spacing w:line="24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品牌风险</w:t>
            </w:r>
          </w:p>
        </w:tc>
        <w:tc>
          <w:tcPr>
            <w:tcW w:w="1840" w:type="dxa"/>
            <w:shd w:val="clear" w:color="auto" w:fill="F2F2F2"/>
            <w:vAlign w:val="center"/>
          </w:tcPr>
          <w:p>
            <w:pPr>
              <w:snapToGrid w:val="0"/>
              <w:spacing w:line="24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品牌损害</w:t>
            </w:r>
          </w:p>
        </w:tc>
        <w:tc>
          <w:tcPr>
            <w:tcW w:w="2551" w:type="dxa"/>
            <w:shd w:val="clear" w:color="auto" w:fill="F2F2F2"/>
            <w:vAlign w:val="center"/>
          </w:tcPr>
          <w:p>
            <w:pPr>
              <w:snapToGrid w:val="0"/>
              <w:spacing w:line="24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重大质量事故或因舆情监控管理不当导致</w:t>
            </w:r>
          </w:p>
        </w:tc>
        <w:tc>
          <w:tcPr>
            <w:tcW w:w="3933" w:type="dxa"/>
            <w:shd w:val="clear" w:color="auto" w:fill="F2F2F2"/>
            <w:vAlign w:val="center"/>
          </w:tcPr>
          <w:p>
            <w:pPr>
              <w:snapToGrid w:val="0"/>
              <w:spacing w:line="24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持续完善内部品牌管理过程，建立舆情监控系统，维护品牌知名度与美誉度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79" w:type="dxa"/>
            <w:shd w:val="clear" w:color="auto" w:fill="F2F2F2"/>
            <w:vAlign w:val="center"/>
          </w:tcPr>
          <w:p>
            <w:pPr>
              <w:snapToGrid w:val="0"/>
              <w:spacing w:line="24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质量风险</w:t>
            </w:r>
          </w:p>
        </w:tc>
        <w:tc>
          <w:tcPr>
            <w:tcW w:w="1840" w:type="dxa"/>
            <w:shd w:val="clear" w:color="auto" w:fill="F2F2F2"/>
            <w:vAlign w:val="center"/>
          </w:tcPr>
          <w:p>
            <w:pPr>
              <w:snapToGrid w:val="0"/>
              <w:spacing w:line="24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法律追责、产品失信</w:t>
            </w:r>
          </w:p>
        </w:tc>
        <w:tc>
          <w:tcPr>
            <w:tcW w:w="2551" w:type="dxa"/>
            <w:shd w:val="clear" w:color="auto" w:fill="F2F2F2"/>
            <w:vAlign w:val="center"/>
          </w:tcPr>
          <w:p>
            <w:pPr>
              <w:snapToGrid w:val="0"/>
              <w:spacing w:line="24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产品设计考虑不周、生产技术水平不够、生产过程把关不严</w:t>
            </w:r>
          </w:p>
        </w:tc>
        <w:tc>
          <w:tcPr>
            <w:tcW w:w="3933" w:type="dxa"/>
            <w:shd w:val="clear" w:color="auto" w:fill="F2F2F2"/>
            <w:vAlign w:val="center"/>
          </w:tcPr>
          <w:p>
            <w:pPr>
              <w:snapToGrid w:val="0"/>
              <w:spacing w:line="24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建立产品全生命周期管理体系，从设计-采购-生产-物流-营销-售后服务等全过程管控质量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79" w:type="dxa"/>
            <w:shd w:val="clear" w:color="auto" w:fill="F2F2F2"/>
            <w:vAlign w:val="center"/>
          </w:tcPr>
          <w:p>
            <w:pPr>
              <w:snapToGrid w:val="0"/>
              <w:spacing w:line="24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安全风险</w:t>
            </w:r>
          </w:p>
        </w:tc>
        <w:tc>
          <w:tcPr>
            <w:tcW w:w="1840" w:type="dxa"/>
            <w:shd w:val="clear" w:color="auto" w:fill="F2F2F2"/>
            <w:vAlign w:val="center"/>
          </w:tcPr>
          <w:p>
            <w:pPr>
              <w:snapToGrid w:val="0"/>
              <w:spacing w:line="24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员工人身损害，资产损失，法律追责</w:t>
            </w:r>
          </w:p>
        </w:tc>
        <w:tc>
          <w:tcPr>
            <w:tcW w:w="2551" w:type="dxa"/>
            <w:shd w:val="clear" w:color="auto" w:fill="F2F2F2"/>
            <w:vAlign w:val="center"/>
          </w:tcPr>
          <w:p>
            <w:pPr>
              <w:snapToGrid w:val="0"/>
              <w:spacing w:line="24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全员安全意识不足、日常管理不规范、安全防护措施不到位</w:t>
            </w:r>
          </w:p>
        </w:tc>
        <w:tc>
          <w:tcPr>
            <w:tcW w:w="3933" w:type="dxa"/>
            <w:shd w:val="clear" w:color="auto" w:fill="F2F2F2"/>
            <w:vAlign w:val="center"/>
          </w:tcPr>
          <w:p>
            <w:pPr>
              <w:snapToGrid w:val="0"/>
              <w:spacing w:line="24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建立安全生产责任制，强化员工安全意识，定期开展安全生产培训，提升安全管理水平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79" w:type="dxa"/>
            <w:shd w:val="clear" w:color="auto" w:fill="F2F2F2"/>
            <w:vAlign w:val="center"/>
          </w:tcPr>
          <w:p>
            <w:pPr>
              <w:snapToGrid w:val="0"/>
              <w:spacing w:line="24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环境风险</w:t>
            </w:r>
          </w:p>
        </w:tc>
        <w:tc>
          <w:tcPr>
            <w:tcW w:w="1840" w:type="dxa"/>
            <w:shd w:val="clear" w:color="auto" w:fill="F2F2F2"/>
            <w:vAlign w:val="center"/>
          </w:tcPr>
          <w:p>
            <w:pPr>
              <w:snapToGrid w:val="0"/>
              <w:spacing w:line="24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环境变化影响正常经营</w:t>
            </w:r>
          </w:p>
        </w:tc>
        <w:tc>
          <w:tcPr>
            <w:tcW w:w="2551" w:type="dxa"/>
            <w:shd w:val="clear" w:color="auto" w:fill="F2F2F2"/>
            <w:vAlign w:val="center"/>
          </w:tcPr>
          <w:p>
            <w:pPr>
              <w:snapToGrid w:val="0"/>
              <w:spacing w:line="24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气候恶劣变化、“三废”排放等</w:t>
            </w:r>
          </w:p>
        </w:tc>
        <w:tc>
          <w:tcPr>
            <w:tcW w:w="3933" w:type="dxa"/>
            <w:shd w:val="clear" w:color="auto" w:fill="F2F2F2"/>
            <w:vAlign w:val="center"/>
          </w:tcPr>
          <w:p>
            <w:pPr>
              <w:snapToGrid w:val="0"/>
              <w:spacing w:line="24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持续完善环境管理体系，每年开展关键场所环境影响因素的识别、评价和应对工作，建立方针、目标和管理方案等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0" w:hRule="atLeast"/>
          <w:jc w:val="center"/>
        </w:trPr>
        <w:tc>
          <w:tcPr>
            <w:tcW w:w="679" w:type="dxa"/>
            <w:shd w:val="clear" w:color="auto" w:fill="F2F2F2"/>
            <w:vAlign w:val="center"/>
          </w:tcPr>
          <w:p>
            <w:pPr>
              <w:snapToGrid w:val="0"/>
              <w:spacing w:line="24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市场风险</w:t>
            </w:r>
          </w:p>
        </w:tc>
        <w:tc>
          <w:tcPr>
            <w:tcW w:w="1840" w:type="dxa"/>
            <w:shd w:val="clear" w:color="auto" w:fill="F2F2F2"/>
            <w:vAlign w:val="center"/>
          </w:tcPr>
          <w:p>
            <w:pPr>
              <w:snapToGrid w:val="0"/>
              <w:spacing w:line="24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产品市场认可度降低、市场占有率降低</w:t>
            </w:r>
          </w:p>
        </w:tc>
        <w:tc>
          <w:tcPr>
            <w:tcW w:w="2551" w:type="dxa"/>
            <w:shd w:val="clear" w:color="auto" w:fill="F2F2F2"/>
            <w:vAlign w:val="center"/>
          </w:tcPr>
          <w:p>
            <w:pPr>
              <w:snapToGrid w:val="0"/>
              <w:spacing w:line="24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市场客户意见反馈处理不到位，产品售后服务不及时，产品上市管理不足</w:t>
            </w:r>
          </w:p>
        </w:tc>
        <w:tc>
          <w:tcPr>
            <w:tcW w:w="3933" w:type="dxa"/>
            <w:shd w:val="clear" w:color="auto" w:fill="F2F2F2"/>
            <w:vAlign w:val="center"/>
          </w:tcPr>
          <w:p>
            <w:pPr>
              <w:snapToGrid w:val="0"/>
              <w:spacing w:line="24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关注竞争对手、标杆企业的动态，分析市场竞争成功要素，努力形成自身核心竞争优势，把握市场变化，产品研发创新，并通过品牌营销，提升品牌形象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79" w:type="dxa"/>
            <w:shd w:val="clear" w:color="auto" w:fill="F2F2F2"/>
            <w:vAlign w:val="center"/>
          </w:tcPr>
          <w:p>
            <w:pPr>
              <w:snapToGrid w:val="0"/>
              <w:spacing w:line="24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人才风险</w:t>
            </w:r>
          </w:p>
        </w:tc>
        <w:tc>
          <w:tcPr>
            <w:tcW w:w="1840" w:type="dxa"/>
            <w:shd w:val="clear" w:color="auto" w:fill="F2F2F2"/>
            <w:vAlign w:val="center"/>
          </w:tcPr>
          <w:p>
            <w:pPr>
              <w:snapToGrid w:val="0"/>
              <w:spacing w:line="24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人才流失、后备人才不足、关键岗位人才缺失、人员工作积极性不足</w:t>
            </w:r>
          </w:p>
        </w:tc>
        <w:tc>
          <w:tcPr>
            <w:tcW w:w="2551" w:type="dxa"/>
            <w:shd w:val="clear" w:color="auto" w:fill="F2F2F2"/>
            <w:vAlign w:val="center"/>
          </w:tcPr>
          <w:p>
            <w:pPr>
              <w:snapToGrid w:val="0"/>
              <w:spacing w:line="24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人才选拔、培养、配置、激励机制不健全，人才梯队建设不到位</w:t>
            </w:r>
          </w:p>
        </w:tc>
        <w:tc>
          <w:tcPr>
            <w:tcW w:w="3933" w:type="dxa"/>
            <w:shd w:val="clear" w:color="auto" w:fill="F2F2F2"/>
            <w:vAlign w:val="center"/>
          </w:tcPr>
          <w:p>
            <w:pPr>
              <w:snapToGrid w:val="0"/>
              <w:spacing w:line="24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注重人员内部培训与外部引进；建立储备干部培养制度，并重点培养、考察，逐步培养企业核心人才及未来领导者</w:t>
            </w:r>
          </w:p>
        </w:tc>
      </w:tr>
    </w:tbl>
    <w:p>
      <w:pPr>
        <w:pStyle w:val="4"/>
        <w:spacing w:before="166" w:line="360" w:lineRule="auto"/>
        <w:ind w:right="359"/>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2）加强未来管理者培养，建立组织人才梯队</w:t>
      </w:r>
    </w:p>
    <w:p>
      <w:pPr>
        <w:pStyle w:val="4"/>
        <w:spacing w:before="166" w:line="360" w:lineRule="auto"/>
        <w:ind w:right="359" w:firstLine="48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为确保组织的延续性，根据人力资源发展规划，公司在人力资源管理过程中设定人才梯队建设这一关键绩效指标，定期开展人才盘点工作，识别组织的关键岗位及后备管理人员，对关键岗位继任者进行甄选、组织管理形式、培养方式、评估、晋升等内容进行梳理。</w:t>
      </w:r>
    </w:p>
    <w:p>
      <w:pPr>
        <w:pStyle w:val="4"/>
        <w:spacing w:before="166" w:line="360" w:lineRule="auto"/>
        <w:ind w:right="359" w:firstLine="48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同时，公司针对不同类型岗位开展针对性的培训，通过专业技能、管理学科等方面的培训提升综合素质，结合公司内部培训以及外部培训、岗位轮换等方式，不断提升各级领导者的综合领导力。</w:t>
      </w:r>
    </w:p>
    <w:p>
      <w:pPr>
        <w:pStyle w:val="4"/>
        <w:spacing w:before="166" w:line="360" w:lineRule="auto"/>
        <w:ind w:right="359"/>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g）定期评价组织绩效并不断提升改进</w:t>
      </w:r>
    </w:p>
    <w:p>
      <w:pPr>
        <w:pStyle w:val="4"/>
        <w:spacing w:before="166" w:line="360" w:lineRule="auto"/>
        <w:ind w:right="359"/>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1）建立科学的绩效评价体系以评价组织绩效</w:t>
      </w:r>
    </w:p>
    <w:p>
      <w:pPr>
        <w:pStyle w:val="4"/>
        <w:spacing w:before="166" w:line="360" w:lineRule="auto"/>
        <w:ind w:right="359" w:firstLine="48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高层领导从财务、顾客与市场、内部运营、学习与成长、战略管理等方面定期评估组织的绩效和能力，并适时调整，持续改进，追求卓越绩效，提升组织的应变能力。</w:t>
      </w:r>
    </w:p>
    <w:p>
      <w:pPr>
        <w:pStyle w:val="4"/>
        <w:spacing w:before="166" w:line="360" w:lineRule="auto"/>
        <w:ind w:right="359" w:firstLine="48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高层领导为了实现战略目标和行动计划，推行以目标管理为主的方法。每年的经营任务指标和方针确定后，将公司的年度经营任务目标化解成每季每月目标，向全体员工传达、分解，确保每一位员工都了解当年的目标任务。</w:t>
      </w:r>
    </w:p>
    <w:p>
      <w:pPr>
        <w:pStyle w:val="4"/>
        <w:spacing w:before="166" w:line="360" w:lineRule="auto"/>
        <w:ind w:right="359" w:firstLine="48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公司高层领导进行绩效评审，并对未完成的指标加以明确，并进行跟踪，及时掌握指标完成情况，必要时采取适当措施。</w:t>
      </w:r>
    </w:p>
    <w:p>
      <w:pPr>
        <w:pStyle w:val="4"/>
        <w:spacing w:before="166" w:line="360" w:lineRule="auto"/>
        <w:ind w:right="359" w:firstLine="48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通过年度形势分析会、年度战略研讨会、月度例会、绩效考核等方式，定期对关键绩效指标、战略经营情况、生产经营指标、日常运营情况进行审核、评价，以不断改进组织绩效，采取必要的行动。</w:t>
      </w:r>
    </w:p>
    <w:p>
      <w:pPr>
        <w:pStyle w:val="4"/>
        <w:spacing w:before="166" w:line="360" w:lineRule="auto"/>
        <w:ind w:right="359" w:firstLine="48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通过每月的成本、绩效考核、项目的分阶段例会等活动，对公司取得的阶段性经营结果、成功案例进行分析，及时总结，及时推广。</w:t>
      </w:r>
    </w:p>
    <w:p>
      <w:pPr>
        <w:pStyle w:val="4"/>
        <w:spacing w:before="166" w:line="360" w:lineRule="auto"/>
        <w:ind w:right="359" w:firstLine="48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公司领导在年度战略讨论期间确立下年度公司层面的总体目标，各个部门根据目标进行分解，制定各自的行动计划。本年度的行动计划由总经理签署后实施。每月举办一次业务工作会议，对目标进度进行回顾和比较，由负责人汇报工作情况及下一阶段的工作实施计划。同时，高层领导积极引入先进的管理工具。</w:t>
      </w:r>
    </w:p>
    <w:p>
      <w:pPr>
        <w:pStyle w:val="4"/>
        <w:spacing w:before="166" w:line="360" w:lineRule="auto"/>
        <w:ind w:right="359" w:firstLine="48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图表</w:t>
      </w:r>
      <w:r>
        <w:rPr>
          <w:rFonts w:hint="eastAsia" w:ascii="宋体" w:hAnsi="宋体" w:eastAsia="宋体" w:cs="宋体"/>
          <w:sz w:val="24"/>
          <w:szCs w:val="24"/>
          <w:highlight w:val="none"/>
          <w:lang w:val="en-US"/>
        </w:rPr>
        <w:t>2</w:t>
      </w:r>
      <w:r>
        <w:rPr>
          <w:rFonts w:hint="eastAsia" w:ascii="宋体" w:hAnsi="宋体" w:eastAsia="宋体" w:cs="宋体"/>
          <w:sz w:val="24"/>
          <w:szCs w:val="24"/>
          <w:highlight w:val="none"/>
        </w:rPr>
        <w:t>.1-</w:t>
      </w: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SEQ 图表4.1- \* ARABIC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7</w:t>
      </w:r>
      <w:r>
        <w:rPr>
          <w:rFonts w:hint="eastAsia" w:ascii="宋体" w:hAnsi="宋体" w:eastAsia="宋体" w:cs="宋体"/>
          <w:sz w:val="24"/>
          <w:szCs w:val="24"/>
          <w:highlight w:val="none"/>
        </w:rPr>
        <w:fldChar w:fldCharType="end"/>
      </w:r>
      <w:r>
        <w:rPr>
          <w:rFonts w:hint="eastAsia" w:ascii="宋体" w:hAnsi="宋体" w:eastAsia="宋体" w:cs="宋体"/>
          <w:sz w:val="24"/>
          <w:szCs w:val="24"/>
          <w:highlight w:val="none"/>
        </w:rPr>
        <w:t xml:space="preserve"> 公司组织绩效评审方式示例</w:t>
      </w:r>
    </w:p>
    <w:tbl>
      <w:tblPr>
        <w:tblStyle w:val="11"/>
        <w:tblW w:w="89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6"/>
        <w:gridCol w:w="3271"/>
        <w:gridCol w:w="2694"/>
        <w:gridCol w:w="16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356" w:type="dxa"/>
            <w:tcBorders>
              <w:top w:val="single" w:color="auto" w:sz="4" w:space="0"/>
              <w:left w:val="single" w:color="auto" w:sz="4" w:space="0"/>
              <w:bottom w:val="single" w:color="auto" w:sz="4" w:space="0"/>
              <w:right w:val="single" w:color="auto" w:sz="4" w:space="0"/>
            </w:tcBorders>
            <w:shd w:val="clear" w:color="auto" w:fill="548DD4" w:themeFill="text2" w:themeFillTint="99"/>
            <w:vAlign w:val="center"/>
          </w:tcPr>
          <w:p>
            <w:pPr>
              <w:adjustRightInd w:val="0"/>
              <w:spacing w:line="360" w:lineRule="auto"/>
              <w:jc w:val="center"/>
              <w:rPr>
                <w:rFonts w:hint="eastAsia" w:ascii="宋体" w:hAnsi="宋体" w:eastAsia="宋体" w:cs="宋体"/>
                <w:b/>
                <w:sz w:val="24"/>
                <w:szCs w:val="24"/>
                <w:highlight w:val="none"/>
              </w:rPr>
            </w:pPr>
            <w:r>
              <w:rPr>
                <w:rFonts w:hint="eastAsia" w:ascii="宋体" w:hAnsi="宋体" w:eastAsia="宋体" w:cs="宋体"/>
                <w:b/>
                <w:sz w:val="24"/>
                <w:szCs w:val="24"/>
                <w:highlight w:val="none"/>
              </w:rPr>
              <w:t>评价模块</w:t>
            </w:r>
          </w:p>
        </w:tc>
        <w:tc>
          <w:tcPr>
            <w:tcW w:w="3271" w:type="dxa"/>
            <w:tcBorders>
              <w:top w:val="single" w:color="auto" w:sz="4" w:space="0"/>
              <w:left w:val="single" w:color="auto" w:sz="4" w:space="0"/>
              <w:bottom w:val="single" w:color="auto" w:sz="4" w:space="0"/>
              <w:right w:val="single" w:color="auto" w:sz="4" w:space="0"/>
            </w:tcBorders>
            <w:shd w:val="clear" w:color="auto" w:fill="548DD4" w:themeFill="text2" w:themeFillTint="99"/>
            <w:vAlign w:val="center"/>
          </w:tcPr>
          <w:p>
            <w:pPr>
              <w:adjustRightInd w:val="0"/>
              <w:spacing w:line="360" w:lineRule="auto"/>
              <w:jc w:val="center"/>
              <w:rPr>
                <w:rFonts w:hint="eastAsia" w:ascii="宋体" w:hAnsi="宋体" w:eastAsia="宋体" w:cs="宋体"/>
                <w:b/>
                <w:sz w:val="24"/>
                <w:szCs w:val="24"/>
                <w:highlight w:val="none"/>
              </w:rPr>
            </w:pPr>
            <w:r>
              <w:rPr>
                <w:rFonts w:hint="eastAsia" w:ascii="宋体" w:hAnsi="宋体" w:eastAsia="宋体" w:cs="宋体"/>
                <w:b/>
                <w:sz w:val="24"/>
                <w:szCs w:val="24"/>
                <w:highlight w:val="none"/>
              </w:rPr>
              <w:t>评价内容</w:t>
            </w:r>
          </w:p>
        </w:tc>
        <w:tc>
          <w:tcPr>
            <w:tcW w:w="2694" w:type="dxa"/>
            <w:tcBorders>
              <w:top w:val="single" w:color="auto" w:sz="4" w:space="0"/>
              <w:left w:val="single" w:color="auto" w:sz="4" w:space="0"/>
              <w:bottom w:val="single" w:color="auto" w:sz="4" w:space="0"/>
              <w:right w:val="single" w:color="auto" w:sz="4" w:space="0"/>
            </w:tcBorders>
            <w:shd w:val="clear" w:color="auto" w:fill="548DD4" w:themeFill="text2" w:themeFillTint="99"/>
            <w:vAlign w:val="center"/>
          </w:tcPr>
          <w:p>
            <w:pPr>
              <w:adjustRightInd w:val="0"/>
              <w:spacing w:line="360" w:lineRule="auto"/>
              <w:jc w:val="center"/>
              <w:rPr>
                <w:rFonts w:hint="eastAsia" w:ascii="宋体" w:hAnsi="宋体" w:eastAsia="宋体" w:cs="宋体"/>
                <w:b/>
                <w:sz w:val="24"/>
                <w:szCs w:val="24"/>
                <w:highlight w:val="none"/>
              </w:rPr>
            </w:pPr>
            <w:r>
              <w:rPr>
                <w:rFonts w:hint="eastAsia" w:ascii="宋体" w:hAnsi="宋体" w:eastAsia="宋体" w:cs="宋体"/>
                <w:b/>
                <w:sz w:val="24"/>
                <w:szCs w:val="24"/>
                <w:highlight w:val="none"/>
              </w:rPr>
              <w:t>评价方法</w:t>
            </w:r>
          </w:p>
        </w:tc>
        <w:tc>
          <w:tcPr>
            <w:tcW w:w="1648" w:type="dxa"/>
            <w:tcBorders>
              <w:top w:val="single" w:color="auto" w:sz="4" w:space="0"/>
              <w:left w:val="single" w:color="auto" w:sz="4" w:space="0"/>
              <w:bottom w:val="single" w:color="auto" w:sz="4" w:space="0"/>
              <w:right w:val="single" w:color="auto" w:sz="4" w:space="0"/>
            </w:tcBorders>
            <w:shd w:val="clear" w:color="auto" w:fill="548DD4" w:themeFill="text2" w:themeFillTint="99"/>
            <w:vAlign w:val="center"/>
          </w:tcPr>
          <w:p>
            <w:pPr>
              <w:adjustRightInd w:val="0"/>
              <w:spacing w:line="360" w:lineRule="auto"/>
              <w:jc w:val="center"/>
              <w:rPr>
                <w:rFonts w:hint="eastAsia" w:ascii="宋体" w:hAnsi="宋体" w:eastAsia="宋体" w:cs="宋体"/>
                <w:b/>
                <w:sz w:val="24"/>
                <w:szCs w:val="24"/>
                <w:highlight w:val="none"/>
              </w:rPr>
            </w:pPr>
            <w:r>
              <w:rPr>
                <w:rFonts w:hint="eastAsia" w:ascii="宋体" w:hAnsi="宋体" w:eastAsia="宋体" w:cs="宋体"/>
                <w:b/>
                <w:sz w:val="24"/>
                <w:szCs w:val="24"/>
                <w:highlight w:val="none"/>
              </w:rPr>
              <w:t>评价周期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6" w:type="dxa"/>
            <w:vMerge w:val="restart"/>
            <w:tcBorders>
              <w:top w:val="single" w:color="auto" w:sz="4" w:space="0"/>
              <w:left w:val="single" w:color="auto" w:sz="4" w:space="0"/>
              <w:bottom w:val="single" w:color="auto" w:sz="4" w:space="0"/>
              <w:right w:val="single" w:color="auto" w:sz="4" w:space="0"/>
            </w:tcBorders>
            <w:shd w:val="clear" w:color="auto" w:fill="F2F2F2"/>
            <w:vAlign w:val="center"/>
          </w:tcPr>
          <w:p>
            <w:pPr>
              <w:adjustRightInd w:val="0"/>
              <w:spacing w:line="24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长短期绩效目标达成情况</w:t>
            </w:r>
          </w:p>
        </w:tc>
        <w:tc>
          <w:tcPr>
            <w:tcW w:w="3271" w:type="dxa"/>
            <w:tcBorders>
              <w:top w:val="single" w:color="auto" w:sz="4" w:space="0"/>
              <w:left w:val="single" w:color="auto" w:sz="4" w:space="0"/>
              <w:bottom w:val="single" w:color="auto" w:sz="4" w:space="0"/>
              <w:right w:val="single" w:color="auto" w:sz="4" w:space="0"/>
            </w:tcBorders>
            <w:shd w:val="clear" w:color="auto" w:fill="F2F2F2"/>
            <w:vAlign w:val="center"/>
          </w:tcPr>
          <w:p>
            <w:pPr>
              <w:adjustRightInd w:val="0"/>
              <w:spacing w:line="24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关键绩效指标达成情况</w:t>
            </w:r>
          </w:p>
        </w:tc>
        <w:tc>
          <w:tcPr>
            <w:tcW w:w="2694" w:type="dxa"/>
            <w:tcBorders>
              <w:top w:val="single" w:color="auto" w:sz="4" w:space="0"/>
              <w:left w:val="single" w:color="auto" w:sz="4" w:space="0"/>
              <w:bottom w:val="single" w:color="auto" w:sz="4" w:space="0"/>
              <w:right w:val="single" w:color="auto" w:sz="4" w:space="0"/>
            </w:tcBorders>
            <w:shd w:val="clear" w:color="auto" w:fill="F2F2F2"/>
            <w:vAlign w:val="center"/>
          </w:tcPr>
          <w:p>
            <w:pPr>
              <w:adjustRightInd w:val="0"/>
              <w:spacing w:line="24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经营分析会议、总结会议等</w:t>
            </w:r>
          </w:p>
        </w:tc>
        <w:tc>
          <w:tcPr>
            <w:tcW w:w="1648" w:type="dxa"/>
            <w:tcBorders>
              <w:top w:val="single" w:color="auto" w:sz="4" w:space="0"/>
              <w:left w:val="single" w:color="auto" w:sz="4" w:space="0"/>
              <w:bottom w:val="single" w:color="auto" w:sz="4" w:space="0"/>
              <w:right w:val="single" w:color="auto" w:sz="4" w:space="0"/>
            </w:tcBorders>
            <w:shd w:val="clear" w:color="auto" w:fill="F2F2F2"/>
            <w:vAlign w:val="center"/>
          </w:tcPr>
          <w:p>
            <w:pPr>
              <w:adjustRightInd w:val="0"/>
              <w:spacing w:line="24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月度、季度、半年度、年度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6" w:type="dxa"/>
            <w:vMerge w:val="continue"/>
            <w:tcBorders>
              <w:top w:val="single" w:color="auto" w:sz="4" w:space="0"/>
              <w:left w:val="single" w:color="auto" w:sz="4" w:space="0"/>
              <w:bottom w:val="single" w:color="auto" w:sz="4" w:space="0"/>
              <w:right w:val="single" w:color="auto" w:sz="4" w:space="0"/>
            </w:tcBorders>
            <w:shd w:val="clear" w:color="auto" w:fill="F2F2F2"/>
            <w:vAlign w:val="center"/>
          </w:tcPr>
          <w:p>
            <w:pPr>
              <w:widowControl/>
              <w:spacing w:line="240" w:lineRule="auto"/>
              <w:rPr>
                <w:rFonts w:hint="eastAsia" w:ascii="宋体" w:hAnsi="宋体" w:eastAsia="宋体" w:cs="宋体"/>
                <w:sz w:val="24"/>
                <w:szCs w:val="24"/>
                <w:highlight w:val="none"/>
              </w:rPr>
            </w:pPr>
          </w:p>
        </w:tc>
        <w:tc>
          <w:tcPr>
            <w:tcW w:w="3271" w:type="dxa"/>
            <w:tcBorders>
              <w:top w:val="single" w:color="auto" w:sz="4" w:space="0"/>
              <w:left w:val="single" w:color="auto" w:sz="4" w:space="0"/>
              <w:bottom w:val="single" w:color="auto" w:sz="4" w:space="0"/>
              <w:right w:val="single" w:color="auto" w:sz="4" w:space="0"/>
            </w:tcBorders>
            <w:shd w:val="clear" w:color="auto" w:fill="F2F2F2"/>
            <w:vAlign w:val="center"/>
          </w:tcPr>
          <w:p>
            <w:pPr>
              <w:adjustRightInd w:val="0"/>
              <w:spacing w:line="24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战略实施情况、战略调整</w:t>
            </w:r>
          </w:p>
        </w:tc>
        <w:tc>
          <w:tcPr>
            <w:tcW w:w="2694" w:type="dxa"/>
            <w:tcBorders>
              <w:top w:val="single" w:color="auto" w:sz="4" w:space="0"/>
              <w:left w:val="single" w:color="auto" w:sz="4" w:space="0"/>
              <w:bottom w:val="single" w:color="auto" w:sz="4" w:space="0"/>
              <w:right w:val="single" w:color="auto" w:sz="4" w:space="0"/>
            </w:tcBorders>
            <w:shd w:val="clear" w:color="auto" w:fill="F2F2F2"/>
            <w:vAlign w:val="center"/>
          </w:tcPr>
          <w:p>
            <w:pPr>
              <w:adjustRightInd w:val="0"/>
              <w:spacing w:line="24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战略研讨会</w:t>
            </w:r>
          </w:p>
        </w:tc>
        <w:tc>
          <w:tcPr>
            <w:tcW w:w="1648" w:type="dxa"/>
            <w:tcBorders>
              <w:top w:val="single" w:color="auto" w:sz="4" w:space="0"/>
              <w:left w:val="single" w:color="auto" w:sz="4" w:space="0"/>
              <w:bottom w:val="single" w:color="auto" w:sz="4" w:space="0"/>
              <w:right w:val="single" w:color="auto" w:sz="4" w:space="0"/>
            </w:tcBorders>
            <w:shd w:val="clear" w:color="auto" w:fill="F2F2F2"/>
            <w:vAlign w:val="center"/>
          </w:tcPr>
          <w:p>
            <w:pPr>
              <w:adjustRightInd w:val="0"/>
              <w:spacing w:line="24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次/半年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6" w:type="dxa"/>
            <w:tcBorders>
              <w:top w:val="single" w:color="auto" w:sz="4" w:space="0"/>
              <w:left w:val="single" w:color="auto" w:sz="4" w:space="0"/>
              <w:bottom w:val="single" w:color="auto" w:sz="4" w:space="0"/>
              <w:right w:val="single" w:color="auto" w:sz="4" w:space="0"/>
            </w:tcBorders>
            <w:shd w:val="clear" w:color="auto" w:fill="F2F2F2"/>
            <w:vAlign w:val="center"/>
          </w:tcPr>
          <w:p>
            <w:pPr>
              <w:adjustRightInd w:val="0"/>
              <w:spacing w:line="24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竞争绩效</w:t>
            </w:r>
          </w:p>
        </w:tc>
        <w:tc>
          <w:tcPr>
            <w:tcW w:w="3271" w:type="dxa"/>
            <w:tcBorders>
              <w:top w:val="single" w:color="auto" w:sz="4" w:space="0"/>
              <w:left w:val="single" w:color="auto" w:sz="4" w:space="0"/>
              <w:bottom w:val="single" w:color="auto" w:sz="4" w:space="0"/>
              <w:right w:val="single" w:color="auto" w:sz="4" w:space="0"/>
            </w:tcBorders>
            <w:shd w:val="clear" w:color="auto" w:fill="F2F2F2"/>
            <w:vAlign w:val="center"/>
          </w:tcPr>
          <w:p>
            <w:pPr>
              <w:adjustRightInd w:val="0"/>
              <w:spacing w:line="24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主要指标与标杆和竞争对手对比</w:t>
            </w:r>
          </w:p>
        </w:tc>
        <w:tc>
          <w:tcPr>
            <w:tcW w:w="2694" w:type="dxa"/>
            <w:tcBorders>
              <w:top w:val="single" w:color="auto" w:sz="4" w:space="0"/>
              <w:left w:val="single" w:color="auto" w:sz="4" w:space="0"/>
              <w:bottom w:val="single" w:color="auto" w:sz="4" w:space="0"/>
              <w:right w:val="single" w:color="auto" w:sz="4" w:space="0"/>
            </w:tcBorders>
            <w:shd w:val="clear" w:color="auto" w:fill="F2F2F2"/>
            <w:vAlign w:val="center"/>
          </w:tcPr>
          <w:p>
            <w:pPr>
              <w:adjustRightInd w:val="0"/>
              <w:spacing w:line="24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对比分析等</w:t>
            </w:r>
          </w:p>
        </w:tc>
        <w:tc>
          <w:tcPr>
            <w:tcW w:w="1648" w:type="dxa"/>
            <w:tcBorders>
              <w:top w:val="single" w:color="auto" w:sz="4" w:space="0"/>
              <w:left w:val="single" w:color="auto" w:sz="4" w:space="0"/>
              <w:bottom w:val="single" w:color="auto" w:sz="4" w:space="0"/>
              <w:right w:val="single" w:color="auto" w:sz="4" w:space="0"/>
            </w:tcBorders>
            <w:shd w:val="clear" w:color="auto" w:fill="F2F2F2"/>
            <w:vAlign w:val="center"/>
          </w:tcPr>
          <w:p>
            <w:pPr>
              <w:adjustRightInd w:val="0"/>
              <w:spacing w:line="24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次/月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6" w:type="dxa"/>
            <w:vMerge w:val="restart"/>
            <w:tcBorders>
              <w:top w:val="single" w:color="auto" w:sz="4" w:space="0"/>
              <w:left w:val="single" w:color="auto" w:sz="4" w:space="0"/>
              <w:bottom w:val="single" w:color="auto" w:sz="4" w:space="0"/>
              <w:right w:val="single" w:color="auto" w:sz="4" w:space="0"/>
            </w:tcBorders>
            <w:shd w:val="clear" w:color="auto" w:fill="F2F2F2"/>
            <w:vAlign w:val="center"/>
          </w:tcPr>
          <w:p>
            <w:pPr>
              <w:adjustRightInd w:val="0"/>
              <w:spacing w:line="24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体系管理有效性</w:t>
            </w:r>
          </w:p>
        </w:tc>
        <w:tc>
          <w:tcPr>
            <w:tcW w:w="3271" w:type="dxa"/>
            <w:tcBorders>
              <w:top w:val="single" w:color="auto" w:sz="4" w:space="0"/>
              <w:left w:val="single" w:color="auto" w:sz="4" w:space="0"/>
              <w:bottom w:val="single" w:color="auto" w:sz="4" w:space="0"/>
              <w:right w:val="single" w:color="auto" w:sz="4" w:space="0"/>
            </w:tcBorders>
            <w:shd w:val="clear" w:color="auto" w:fill="F2F2F2"/>
            <w:vAlign w:val="center"/>
          </w:tcPr>
          <w:p>
            <w:pPr>
              <w:adjustRightInd w:val="0"/>
              <w:spacing w:line="24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各项管理体系运行情况</w:t>
            </w:r>
          </w:p>
        </w:tc>
        <w:tc>
          <w:tcPr>
            <w:tcW w:w="2694" w:type="dxa"/>
            <w:tcBorders>
              <w:top w:val="single" w:color="auto" w:sz="4" w:space="0"/>
              <w:left w:val="single" w:color="auto" w:sz="4" w:space="0"/>
              <w:bottom w:val="single" w:color="auto" w:sz="4" w:space="0"/>
              <w:right w:val="single" w:color="auto" w:sz="4" w:space="0"/>
            </w:tcBorders>
            <w:shd w:val="clear" w:color="auto" w:fill="F2F2F2"/>
            <w:vAlign w:val="center"/>
          </w:tcPr>
          <w:p>
            <w:pPr>
              <w:adjustRightInd w:val="0"/>
              <w:spacing w:line="24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运营部等部门内部审核</w:t>
            </w:r>
          </w:p>
        </w:tc>
        <w:tc>
          <w:tcPr>
            <w:tcW w:w="1648" w:type="dxa"/>
            <w:tcBorders>
              <w:top w:val="single" w:color="auto" w:sz="4" w:space="0"/>
              <w:left w:val="single" w:color="auto" w:sz="4" w:space="0"/>
              <w:bottom w:val="single" w:color="auto" w:sz="4" w:space="0"/>
              <w:right w:val="single" w:color="auto" w:sz="4" w:space="0"/>
            </w:tcBorders>
            <w:shd w:val="clear" w:color="auto" w:fill="F2F2F2"/>
            <w:vAlign w:val="center"/>
          </w:tcPr>
          <w:p>
            <w:pPr>
              <w:adjustRightInd w:val="0"/>
              <w:spacing w:line="24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次/半年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6" w:type="dxa"/>
            <w:vMerge w:val="continue"/>
            <w:tcBorders>
              <w:top w:val="single" w:color="auto" w:sz="4" w:space="0"/>
              <w:left w:val="single" w:color="auto" w:sz="4" w:space="0"/>
              <w:bottom w:val="single" w:color="auto" w:sz="4" w:space="0"/>
              <w:right w:val="single" w:color="auto" w:sz="4" w:space="0"/>
            </w:tcBorders>
            <w:shd w:val="clear" w:color="auto" w:fill="F2F2F2"/>
            <w:vAlign w:val="center"/>
          </w:tcPr>
          <w:p>
            <w:pPr>
              <w:widowControl/>
              <w:spacing w:line="240" w:lineRule="auto"/>
              <w:rPr>
                <w:rFonts w:hint="eastAsia" w:ascii="宋体" w:hAnsi="宋体" w:eastAsia="宋体" w:cs="宋体"/>
                <w:sz w:val="24"/>
                <w:szCs w:val="24"/>
                <w:highlight w:val="none"/>
              </w:rPr>
            </w:pPr>
          </w:p>
        </w:tc>
        <w:tc>
          <w:tcPr>
            <w:tcW w:w="3271" w:type="dxa"/>
            <w:tcBorders>
              <w:top w:val="single" w:color="auto" w:sz="4" w:space="0"/>
              <w:left w:val="single" w:color="auto" w:sz="4" w:space="0"/>
              <w:bottom w:val="single" w:color="auto" w:sz="4" w:space="0"/>
              <w:right w:val="single" w:color="auto" w:sz="4" w:space="0"/>
            </w:tcBorders>
            <w:shd w:val="clear" w:color="auto" w:fill="F2F2F2"/>
            <w:vAlign w:val="center"/>
          </w:tcPr>
          <w:p>
            <w:pPr>
              <w:adjustRightInd w:val="0"/>
              <w:spacing w:line="24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生产、消防安全及职业健康工作落实情况</w:t>
            </w:r>
          </w:p>
        </w:tc>
        <w:tc>
          <w:tcPr>
            <w:tcW w:w="2694" w:type="dxa"/>
            <w:tcBorders>
              <w:top w:val="single" w:color="auto" w:sz="4" w:space="0"/>
              <w:left w:val="single" w:color="auto" w:sz="4" w:space="0"/>
              <w:bottom w:val="single" w:color="auto" w:sz="4" w:space="0"/>
              <w:right w:val="single" w:color="auto" w:sz="4" w:space="0"/>
            </w:tcBorders>
            <w:shd w:val="clear" w:color="auto" w:fill="F2F2F2"/>
            <w:vAlign w:val="center"/>
          </w:tcPr>
          <w:p>
            <w:pPr>
              <w:adjustRightInd w:val="0"/>
              <w:spacing w:line="240" w:lineRule="auto"/>
              <w:jc w:val="center"/>
              <w:rPr>
                <w:rFonts w:hint="eastAsia" w:ascii="宋体" w:hAnsi="宋体" w:eastAsia="宋体" w:cs="宋体"/>
                <w:sz w:val="24"/>
                <w:szCs w:val="24"/>
                <w:highlight w:val="none"/>
              </w:rPr>
            </w:pPr>
            <w:r>
              <w:rPr>
                <w:rFonts w:hint="eastAsia" w:cs="宋体"/>
                <w:sz w:val="24"/>
                <w:szCs w:val="24"/>
                <w:highlight w:val="none"/>
                <w:lang w:eastAsia="zh-CN"/>
              </w:rPr>
              <w:t>人事部</w:t>
            </w:r>
            <w:r>
              <w:rPr>
                <w:rFonts w:hint="eastAsia" w:ascii="宋体" w:hAnsi="宋体" w:eastAsia="宋体" w:cs="宋体"/>
                <w:sz w:val="24"/>
                <w:szCs w:val="24"/>
                <w:highlight w:val="none"/>
              </w:rPr>
              <w:t>、生产部等相关部门进行评审</w:t>
            </w:r>
          </w:p>
        </w:tc>
        <w:tc>
          <w:tcPr>
            <w:tcW w:w="1648" w:type="dxa"/>
            <w:tcBorders>
              <w:top w:val="single" w:color="auto" w:sz="4" w:space="0"/>
              <w:left w:val="single" w:color="auto" w:sz="4" w:space="0"/>
              <w:bottom w:val="single" w:color="auto" w:sz="4" w:space="0"/>
              <w:right w:val="single" w:color="auto" w:sz="4" w:space="0"/>
            </w:tcBorders>
            <w:shd w:val="clear" w:color="auto" w:fill="F2F2F2"/>
            <w:vAlign w:val="center"/>
          </w:tcPr>
          <w:p>
            <w:pPr>
              <w:adjustRightInd w:val="0"/>
              <w:spacing w:line="24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次/月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6" w:type="dxa"/>
            <w:tcBorders>
              <w:top w:val="single" w:color="auto" w:sz="4" w:space="0"/>
              <w:left w:val="single" w:color="auto" w:sz="4" w:space="0"/>
              <w:bottom w:val="single" w:color="auto" w:sz="4" w:space="0"/>
              <w:right w:val="single" w:color="auto" w:sz="4" w:space="0"/>
            </w:tcBorders>
            <w:shd w:val="clear" w:color="auto" w:fill="F2F2F2"/>
            <w:vAlign w:val="center"/>
          </w:tcPr>
          <w:p>
            <w:pPr>
              <w:adjustRightInd w:val="0"/>
              <w:spacing w:line="24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社会责任</w:t>
            </w:r>
          </w:p>
        </w:tc>
        <w:tc>
          <w:tcPr>
            <w:tcW w:w="3271" w:type="dxa"/>
            <w:tcBorders>
              <w:top w:val="single" w:color="auto" w:sz="4" w:space="0"/>
              <w:left w:val="single" w:color="auto" w:sz="4" w:space="0"/>
              <w:bottom w:val="single" w:color="auto" w:sz="4" w:space="0"/>
              <w:right w:val="single" w:color="auto" w:sz="4" w:space="0"/>
            </w:tcBorders>
            <w:shd w:val="clear" w:color="auto" w:fill="F2F2F2"/>
            <w:vAlign w:val="center"/>
          </w:tcPr>
          <w:p>
            <w:pPr>
              <w:adjustRightInd w:val="0"/>
              <w:spacing w:line="24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公益支持、相关方利益的保护等</w:t>
            </w:r>
          </w:p>
        </w:tc>
        <w:tc>
          <w:tcPr>
            <w:tcW w:w="2694" w:type="dxa"/>
            <w:tcBorders>
              <w:top w:val="single" w:color="auto" w:sz="4" w:space="0"/>
              <w:left w:val="single" w:color="auto" w:sz="4" w:space="0"/>
              <w:bottom w:val="single" w:color="auto" w:sz="4" w:space="0"/>
              <w:right w:val="single" w:color="auto" w:sz="4" w:space="0"/>
            </w:tcBorders>
            <w:shd w:val="clear" w:color="auto" w:fill="F2F2F2"/>
            <w:vAlign w:val="center"/>
          </w:tcPr>
          <w:p>
            <w:pPr>
              <w:adjustRightInd w:val="0"/>
              <w:spacing w:line="24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各相关方信息反馈、公益支持计划完成情况等</w:t>
            </w:r>
          </w:p>
        </w:tc>
        <w:tc>
          <w:tcPr>
            <w:tcW w:w="1648" w:type="dxa"/>
            <w:tcBorders>
              <w:top w:val="single" w:color="auto" w:sz="4" w:space="0"/>
              <w:left w:val="single" w:color="auto" w:sz="4" w:space="0"/>
              <w:bottom w:val="single" w:color="auto" w:sz="4" w:space="0"/>
              <w:right w:val="single" w:color="auto" w:sz="4" w:space="0"/>
            </w:tcBorders>
            <w:shd w:val="clear" w:color="auto" w:fill="F2F2F2"/>
            <w:vAlign w:val="center"/>
          </w:tcPr>
          <w:p>
            <w:pPr>
              <w:adjustRightInd w:val="0"/>
              <w:spacing w:line="24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年度</w:t>
            </w:r>
          </w:p>
        </w:tc>
      </w:tr>
    </w:tbl>
    <w:p>
      <w:pPr>
        <w:pStyle w:val="4"/>
        <w:spacing w:before="166" w:line="360" w:lineRule="auto"/>
        <w:ind w:right="359"/>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2）确定和落实改进关键业务的优先次序，识别改进与创新机会</w:t>
      </w:r>
    </w:p>
    <w:p>
      <w:pPr>
        <w:pStyle w:val="4"/>
        <w:spacing w:before="166" w:line="360" w:lineRule="auto"/>
        <w:ind w:right="359" w:firstLine="48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高层领导通过战略研讨会、管理评审会、定期的经营分析会等方式评价公司的关键绩效指标，以识别改进和创新的重点。根据绩效评审结果，按照与公司使命、愿景、目标、顾客满意度等相关性大小，确定改进问题，明确改进优先次序并识别创新机会，通过“立项”方式，明确责任部门和责任人，对改进计划采取重责考评限期改进等办法推进落实。一方面做好内部策划实施，另一方面及时沟通合作伙伴，以便步调一致，协同创新。</w:t>
      </w:r>
    </w:p>
    <w:p>
      <w:pPr>
        <w:pStyle w:val="3"/>
        <w:spacing w:line="360" w:lineRule="auto"/>
        <w:rPr>
          <w:rFonts w:hint="eastAsia" w:ascii="宋体" w:hAnsi="宋体" w:eastAsia="宋体" w:cs="宋体"/>
          <w:sz w:val="24"/>
          <w:szCs w:val="24"/>
          <w:highlight w:val="none"/>
        </w:rPr>
      </w:pPr>
      <w:bookmarkStart w:id="6" w:name="三、守法合规"/>
      <w:bookmarkEnd w:id="6"/>
      <w:bookmarkStart w:id="7" w:name="_Toc24531707"/>
      <w:r>
        <w:rPr>
          <w:rFonts w:hint="eastAsia" w:ascii="宋体" w:hAnsi="宋体" w:eastAsia="宋体" w:cs="宋体"/>
          <w:b/>
          <w:bCs/>
          <w:sz w:val="24"/>
          <w:szCs w:val="24"/>
          <w:highlight w:val="none"/>
        </w:rPr>
        <w:t>三、守法合规</w:t>
      </w:r>
      <w:bookmarkEnd w:id="7"/>
    </w:p>
    <w:p>
      <w:pPr>
        <w:pStyle w:val="4"/>
        <w:spacing w:line="360" w:lineRule="auto"/>
        <w:ind w:right="355" w:firstLine="480"/>
        <w:jc w:val="both"/>
        <w:rPr>
          <w:rFonts w:hint="eastAsia" w:ascii="宋体" w:hAnsi="宋体" w:eastAsia="宋体" w:cs="宋体"/>
          <w:sz w:val="24"/>
          <w:szCs w:val="24"/>
          <w:highlight w:val="none"/>
        </w:rPr>
      </w:pPr>
      <w:r>
        <w:rPr>
          <w:rFonts w:hint="eastAsia" w:ascii="宋体" w:hAnsi="宋体" w:eastAsia="宋体" w:cs="宋体"/>
          <w:spacing w:val="-7"/>
          <w:sz w:val="24"/>
          <w:szCs w:val="24"/>
          <w:highlight w:val="none"/>
        </w:rPr>
        <w:t>公司遵守商业道德和法律规定，建立了完备的合规体系。</w:t>
      </w:r>
      <w:r>
        <w:rPr>
          <w:rFonts w:hint="eastAsia" w:cs="宋体"/>
          <w:spacing w:val="-7"/>
          <w:sz w:val="24"/>
          <w:szCs w:val="24"/>
          <w:highlight w:val="none"/>
          <w:lang w:eastAsia="zh-CN"/>
        </w:rPr>
        <w:t>益大</w:t>
      </w:r>
      <w:r>
        <w:rPr>
          <w:rFonts w:hint="eastAsia" w:ascii="宋体" w:hAnsi="宋体" w:eastAsia="宋体" w:cs="宋体"/>
          <w:spacing w:val="-7"/>
          <w:sz w:val="24"/>
          <w:szCs w:val="24"/>
          <w:highlight w:val="none"/>
        </w:rPr>
        <w:t>合规体系包</w:t>
      </w:r>
      <w:r>
        <w:rPr>
          <w:rFonts w:hint="eastAsia" w:ascii="宋体" w:hAnsi="宋体" w:eastAsia="宋体" w:cs="宋体"/>
          <w:spacing w:val="-21"/>
          <w:sz w:val="24"/>
          <w:szCs w:val="24"/>
          <w:highlight w:val="none"/>
        </w:rPr>
        <w:t>括内部合规制度、内部合规通报体系、内部监督制度和惩戒制度，重点关注环境、</w:t>
      </w:r>
      <w:r>
        <w:rPr>
          <w:rFonts w:hint="eastAsia" w:ascii="宋体" w:hAnsi="宋体" w:eastAsia="宋体" w:cs="宋体"/>
          <w:sz w:val="24"/>
          <w:szCs w:val="24"/>
          <w:highlight w:val="none"/>
        </w:rPr>
        <w:t>商业伦理、产品质量和供应链领域。</w:t>
      </w:r>
    </w:p>
    <w:p>
      <w:pPr>
        <w:pStyle w:val="4"/>
        <w:spacing w:line="360" w:lineRule="auto"/>
        <w:ind w:right="360" w:firstLine="480"/>
        <w:jc w:val="both"/>
        <w:rPr>
          <w:rFonts w:hint="eastAsia" w:ascii="宋体" w:hAnsi="宋体" w:eastAsia="宋体" w:cs="宋体"/>
          <w:sz w:val="24"/>
          <w:szCs w:val="24"/>
          <w:highlight w:val="none"/>
        </w:rPr>
      </w:pPr>
      <w:r>
        <w:rPr>
          <w:rFonts w:hint="eastAsia" w:ascii="宋体" w:hAnsi="宋体" w:eastAsia="宋体" w:cs="宋体"/>
          <w:spacing w:val="-8"/>
          <w:sz w:val="24"/>
          <w:szCs w:val="24"/>
          <w:highlight w:val="none"/>
        </w:rPr>
        <w:t>公司员工遵循诚实守信、平等公正、符合法规、不谋私利、利益回避和信息</w:t>
      </w:r>
      <w:r>
        <w:rPr>
          <w:rFonts w:hint="eastAsia" w:ascii="宋体" w:hAnsi="宋体" w:eastAsia="宋体" w:cs="宋体"/>
          <w:spacing w:val="-10"/>
          <w:sz w:val="24"/>
          <w:szCs w:val="24"/>
          <w:highlight w:val="none"/>
        </w:rPr>
        <w:t>保密等基本准则。对待同事平等尊重；对待客户以提供高品质的产品和服务为己任；对待供应商诚信公正寻求双赢。此外，公司设立了招标</w:t>
      </w:r>
      <w:r>
        <w:rPr>
          <w:rFonts w:hint="eastAsia" w:cs="宋体"/>
          <w:spacing w:val="-10"/>
          <w:sz w:val="24"/>
          <w:szCs w:val="24"/>
          <w:highlight w:val="none"/>
          <w:lang w:eastAsia="zh-CN"/>
        </w:rPr>
        <w:t>人事部</w:t>
      </w:r>
      <w:r>
        <w:rPr>
          <w:rFonts w:hint="eastAsia" w:ascii="宋体" w:hAnsi="宋体" w:eastAsia="宋体" w:cs="宋体"/>
          <w:spacing w:val="-10"/>
          <w:sz w:val="24"/>
          <w:szCs w:val="24"/>
          <w:highlight w:val="none"/>
        </w:rPr>
        <w:t>，还要求员工</w:t>
      </w:r>
      <w:r>
        <w:rPr>
          <w:rFonts w:hint="eastAsia" w:ascii="宋体" w:hAnsi="宋体" w:eastAsia="宋体" w:cs="宋体"/>
          <w:spacing w:val="-7"/>
          <w:sz w:val="24"/>
          <w:szCs w:val="24"/>
          <w:highlight w:val="none"/>
        </w:rPr>
        <w:t>在与政府等部门交易时必须要做到诚实、准确，严禁以公司或个人的名义向任何</w:t>
      </w:r>
      <w:r>
        <w:rPr>
          <w:rFonts w:hint="eastAsia" w:ascii="宋体" w:hAnsi="宋体" w:eastAsia="宋体" w:cs="宋体"/>
          <w:sz w:val="24"/>
          <w:szCs w:val="24"/>
          <w:highlight w:val="none"/>
        </w:rPr>
        <w:t>政府官员、党派等提供或许诺提供资金或财物以试图影响其决定。</w:t>
      </w:r>
    </w:p>
    <w:p>
      <w:pPr>
        <w:pStyle w:val="3"/>
        <w:spacing w:line="360" w:lineRule="auto"/>
        <w:rPr>
          <w:rFonts w:hint="eastAsia" w:ascii="宋体" w:hAnsi="宋体" w:eastAsia="宋体" w:cs="宋体"/>
          <w:sz w:val="24"/>
          <w:szCs w:val="24"/>
          <w:highlight w:val="none"/>
        </w:rPr>
      </w:pPr>
      <w:bookmarkStart w:id="8" w:name="四、回报股东"/>
      <w:bookmarkEnd w:id="8"/>
      <w:bookmarkStart w:id="9" w:name="_Toc24531708"/>
      <w:r>
        <w:rPr>
          <w:rFonts w:hint="eastAsia" w:ascii="宋体" w:hAnsi="宋体" w:eastAsia="宋体" w:cs="宋体"/>
          <w:b/>
          <w:bCs/>
          <w:sz w:val="24"/>
          <w:szCs w:val="24"/>
          <w:highlight w:val="none"/>
        </w:rPr>
        <w:t>四、回报股东</w:t>
      </w:r>
      <w:bookmarkEnd w:id="9"/>
    </w:p>
    <w:p>
      <w:pPr>
        <w:pStyle w:val="4"/>
        <w:spacing w:line="360" w:lineRule="auto"/>
        <w:ind w:right="240" w:firstLine="480"/>
        <w:rPr>
          <w:rFonts w:hint="eastAsia" w:ascii="宋体" w:hAnsi="宋体" w:eastAsia="宋体" w:cs="宋体"/>
          <w:sz w:val="24"/>
          <w:szCs w:val="24"/>
          <w:highlight w:val="none"/>
        </w:rPr>
      </w:pPr>
      <w:r>
        <w:rPr>
          <w:rFonts w:hint="eastAsia" w:ascii="宋体" w:hAnsi="宋体" w:eastAsia="宋体" w:cs="宋体"/>
          <w:spacing w:val="-6"/>
          <w:sz w:val="24"/>
          <w:szCs w:val="24"/>
          <w:highlight w:val="none"/>
        </w:rPr>
        <w:t>企业只有不断创造股东价值，才能吸引股东资本，实现稳步发展。有效地提</w:t>
      </w:r>
      <w:r>
        <w:rPr>
          <w:rFonts w:hint="eastAsia" w:ascii="宋体" w:hAnsi="宋体" w:eastAsia="宋体" w:cs="宋体"/>
          <w:spacing w:val="-7"/>
          <w:sz w:val="24"/>
          <w:szCs w:val="24"/>
          <w:highlight w:val="none"/>
        </w:rPr>
        <w:t>升股东价值，能增强公司在资本市场的竞争力，同时也有利于公司的持续经营。</w:t>
      </w:r>
      <w:r>
        <w:rPr>
          <w:rFonts w:hint="eastAsia" w:ascii="宋体" w:hAnsi="宋体" w:eastAsia="宋体" w:cs="宋体"/>
          <w:spacing w:val="-1"/>
          <w:sz w:val="24"/>
          <w:szCs w:val="24"/>
          <w:highlight w:val="none"/>
        </w:rPr>
        <w:t xml:space="preserve">企业的决策者应主动协助股东和投资者增加对企业的了解，唤起对企业的兴趣， </w:t>
      </w:r>
      <w:r>
        <w:rPr>
          <w:rFonts w:hint="eastAsia" w:ascii="宋体" w:hAnsi="宋体" w:eastAsia="宋体" w:cs="宋体"/>
          <w:sz w:val="24"/>
          <w:szCs w:val="24"/>
          <w:highlight w:val="none"/>
        </w:rPr>
        <w:t>刺激投资者对企业的长期投资，在股东和投资者心目中树立良好的形象。</w:t>
      </w:r>
    </w:p>
    <w:p>
      <w:pPr>
        <w:pStyle w:val="15"/>
        <w:numPr>
          <w:ilvl w:val="1"/>
          <w:numId w:val="4"/>
        </w:numPr>
        <w:tabs>
          <w:tab w:val="left" w:pos="600"/>
        </w:tabs>
        <w:spacing w:before="3"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保障股东权益</w:t>
      </w:r>
    </w:p>
    <w:p>
      <w:pPr>
        <w:pStyle w:val="4"/>
        <w:spacing w:before="189" w:line="360" w:lineRule="auto"/>
        <w:ind w:right="359" w:firstLine="480"/>
        <w:jc w:val="both"/>
        <w:rPr>
          <w:rFonts w:hint="eastAsia" w:ascii="宋体" w:hAnsi="宋体" w:eastAsia="宋体" w:cs="宋体"/>
          <w:sz w:val="24"/>
          <w:szCs w:val="24"/>
          <w:highlight w:val="none"/>
        </w:rPr>
      </w:pPr>
      <w:r>
        <w:rPr>
          <w:rFonts w:hint="eastAsia" w:ascii="宋体" w:hAnsi="宋体" w:eastAsia="宋体" w:cs="宋体"/>
          <w:spacing w:val="-5"/>
          <w:sz w:val="24"/>
          <w:szCs w:val="24"/>
          <w:highlight w:val="none"/>
        </w:rPr>
        <w:t>公司始终坚持及时向债权人通报与其债权权益相关的重大信息，配合债权人</w:t>
      </w:r>
      <w:r>
        <w:rPr>
          <w:rFonts w:hint="eastAsia" w:ascii="宋体" w:hAnsi="宋体" w:eastAsia="宋体" w:cs="宋体"/>
          <w:spacing w:val="-8"/>
          <w:sz w:val="24"/>
          <w:szCs w:val="24"/>
          <w:highlight w:val="none"/>
        </w:rPr>
        <w:t>了解公司有关财务、经营和管理等情况，进一步加强投资者关系管理工作。针对</w:t>
      </w:r>
      <w:r>
        <w:rPr>
          <w:rFonts w:hint="eastAsia" w:ascii="宋体" w:hAnsi="宋体" w:eastAsia="宋体" w:cs="宋体"/>
          <w:spacing w:val="-6"/>
          <w:sz w:val="24"/>
          <w:szCs w:val="24"/>
          <w:highlight w:val="none"/>
        </w:rPr>
        <w:t>投资者关系管理中存在的薄弱环节，公司丰富和完善了公司的网站功能，建立网</w:t>
      </w:r>
      <w:r>
        <w:rPr>
          <w:rFonts w:hint="eastAsia" w:ascii="宋体" w:hAnsi="宋体" w:eastAsia="宋体" w:cs="宋体"/>
          <w:spacing w:val="-20"/>
          <w:sz w:val="24"/>
          <w:szCs w:val="24"/>
          <w:highlight w:val="none"/>
        </w:rPr>
        <w:t xml:space="preserve">络、电话、邮件等多方位的沟通渠道，通过充分的信息披露加强与投资者的沟通， </w:t>
      </w:r>
      <w:r>
        <w:rPr>
          <w:rFonts w:hint="eastAsia" w:ascii="宋体" w:hAnsi="宋体" w:eastAsia="宋体" w:cs="宋体"/>
          <w:spacing w:val="-8"/>
          <w:sz w:val="24"/>
          <w:szCs w:val="24"/>
          <w:highlight w:val="none"/>
        </w:rPr>
        <w:t>促进投资者对公司的了解和认同，树立公司良好的市场形象与投资者营造良好的</w:t>
      </w:r>
      <w:r>
        <w:rPr>
          <w:rFonts w:hint="eastAsia" w:ascii="宋体" w:hAnsi="宋体" w:eastAsia="宋体" w:cs="宋体"/>
          <w:sz w:val="24"/>
          <w:szCs w:val="24"/>
          <w:highlight w:val="none"/>
        </w:rPr>
        <w:t>内外沟通运行环境，保证投资者关系的健康、融洽发展。</w:t>
      </w:r>
    </w:p>
    <w:p>
      <w:pPr>
        <w:pStyle w:val="3"/>
        <w:spacing w:line="360" w:lineRule="auto"/>
        <w:rPr>
          <w:rFonts w:hint="eastAsia" w:ascii="宋体" w:hAnsi="宋体" w:eastAsia="宋体" w:cs="宋体"/>
          <w:sz w:val="24"/>
          <w:szCs w:val="24"/>
          <w:highlight w:val="none"/>
        </w:rPr>
      </w:pPr>
      <w:bookmarkStart w:id="10" w:name="五、服务客户"/>
      <w:bookmarkEnd w:id="10"/>
      <w:bookmarkStart w:id="11" w:name="_Toc24531709"/>
      <w:r>
        <w:rPr>
          <w:rFonts w:hint="eastAsia" w:ascii="宋体" w:hAnsi="宋体" w:eastAsia="宋体" w:cs="宋体"/>
          <w:b/>
          <w:bCs/>
          <w:sz w:val="24"/>
          <w:szCs w:val="24"/>
          <w:highlight w:val="none"/>
        </w:rPr>
        <w:t>五、服务客户</w:t>
      </w:r>
      <w:bookmarkEnd w:id="11"/>
    </w:p>
    <w:p>
      <w:pPr>
        <w:pStyle w:val="4"/>
        <w:spacing w:line="360" w:lineRule="auto"/>
        <w:ind w:right="355"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很多客户对企业的评价当中相当多的原因不是由于产品质量服务等实质性</w:t>
      </w:r>
      <w:r>
        <w:rPr>
          <w:rFonts w:hint="eastAsia" w:ascii="宋体" w:hAnsi="宋体" w:eastAsia="宋体" w:cs="宋体"/>
          <w:spacing w:val="-10"/>
          <w:sz w:val="24"/>
          <w:szCs w:val="24"/>
          <w:highlight w:val="none"/>
        </w:rPr>
        <w:t>问题，而是企业与客户之间的沟通不够。因此，与客户保持沟通、特别是高层的</w:t>
      </w:r>
      <w:r>
        <w:rPr>
          <w:rFonts w:hint="eastAsia" w:ascii="宋体" w:hAnsi="宋体" w:eastAsia="宋体" w:cs="宋体"/>
          <w:spacing w:val="-9"/>
          <w:sz w:val="24"/>
          <w:szCs w:val="24"/>
          <w:highlight w:val="none"/>
        </w:rPr>
        <w:t>沟通渠道畅通是非常重要的，只有产品质量与服务质量双重保障才能获得客户的最终满意和认可。</w:t>
      </w:r>
      <w:r>
        <w:rPr>
          <w:rFonts w:hint="eastAsia" w:cs="宋体"/>
          <w:spacing w:val="-9"/>
          <w:sz w:val="24"/>
          <w:szCs w:val="24"/>
          <w:highlight w:val="none"/>
          <w:lang w:eastAsia="zh-CN"/>
        </w:rPr>
        <w:t>益大</w:t>
      </w:r>
      <w:r>
        <w:rPr>
          <w:rFonts w:hint="eastAsia" w:ascii="宋体" w:hAnsi="宋体" w:eastAsia="宋体" w:cs="宋体"/>
          <w:spacing w:val="-9"/>
          <w:sz w:val="24"/>
          <w:szCs w:val="24"/>
          <w:highlight w:val="none"/>
        </w:rPr>
        <w:t>以</w:t>
      </w:r>
      <w:r>
        <w:rPr>
          <w:rFonts w:hint="eastAsia" w:ascii="宋体" w:hAnsi="宋体" w:eastAsia="宋体" w:cs="宋体"/>
          <w:spacing w:val="-9"/>
          <w:sz w:val="24"/>
          <w:szCs w:val="24"/>
          <w:highlight w:val="none"/>
          <w:lang w:val="en-US" w:eastAsia="zh-CN"/>
        </w:rPr>
        <w:t>企业转型</w:t>
      </w:r>
      <w:r>
        <w:rPr>
          <w:rFonts w:hint="eastAsia" w:ascii="宋体" w:hAnsi="宋体" w:eastAsia="宋体" w:cs="宋体"/>
          <w:spacing w:val="-9"/>
          <w:sz w:val="24"/>
          <w:szCs w:val="24"/>
          <w:highlight w:val="none"/>
        </w:rPr>
        <w:t>为契机，从传统制造商向现代化</w:t>
      </w:r>
      <w:r>
        <w:rPr>
          <w:rFonts w:hint="eastAsia" w:ascii="宋体" w:hAnsi="宋体" w:eastAsia="宋体" w:cs="宋体"/>
          <w:spacing w:val="-8"/>
          <w:sz w:val="24"/>
          <w:szCs w:val="24"/>
          <w:highlight w:val="none"/>
        </w:rPr>
        <w:t>工业</w:t>
      </w:r>
      <w:r>
        <w:rPr>
          <w:rFonts w:hint="eastAsia" w:ascii="宋体" w:hAnsi="宋体" w:eastAsia="宋体" w:cs="宋体"/>
          <w:spacing w:val="-8"/>
          <w:sz w:val="24"/>
          <w:szCs w:val="24"/>
          <w:highlight w:val="none"/>
          <w:lang w:val="en-US" w:eastAsia="zh-CN"/>
        </w:rPr>
        <w:t>制造</w:t>
      </w:r>
      <w:r>
        <w:rPr>
          <w:rFonts w:hint="eastAsia" w:ascii="宋体" w:hAnsi="宋体" w:eastAsia="宋体" w:cs="宋体"/>
          <w:spacing w:val="-8"/>
          <w:sz w:val="24"/>
          <w:szCs w:val="24"/>
          <w:highlight w:val="none"/>
        </w:rPr>
        <w:t>商转型，建立以市场为中心、以客户需求为重点的服务理念。机构改革</w:t>
      </w:r>
      <w:r>
        <w:rPr>
          <w:rFonts w:hint="eastAsia" w:ascii="宋体" w:hAnsi="宋体" w:eastAsia="宋体" w:cs="宋体"/>
          <w:spacing w:val="-21"/>
          <w:sz w:val="24"/>
          <w:szCs w:val="24"/>
          <w:highlight w:val="none"/>
        </w:rPr>
        <w:t>后，运营部各自针对客户开展服务工作，不断优化服务流程，提升服务理念，</w:t>
      </w:r>
      <w:r>
        <w:rPr>
          <w:rFonts w:hint="eastAsia" w:ascii="宋体" w:hAnsi="宋体" w:eastAsia="宋体" w:cs="宋体"/>
          <w:spacing w:val="-10"/>
          <w:sz w:val="24"/>
          <w:szCs w:val="24"/>
          <w:highlight w:val="none"/>
        </w:rPr>
        <w:t>强化服务质量，急客户之所急，想客户之所想，在初期的工作中得到了客户的充</w:t>
      </w:r>
      <w:r>
        <w:rPr>
          <w:rFonts w:hint="eastAsia" w:ascii="宋体" w:hAnsi="宋体" w:eastAsia="宋体" w:cs="宋体"/>
          <w:sz w:val="24"/>
          <w:szCs w:val="24"/>
          <w:highlight w:val="none"/>
        </w:rPr>
        <w:t>分肯定。</w:t>
      </w:r>
    </w:p>
    <w:p>
      <w:pPr>
        <w:pStyle w:val="3"/>
        <w:spacing w:line="360" w:lineRule="auto"/>
        <w:rPr>
          <w:rFonts w:hint="eastAsia" w:ascii="宋体" w:hAnsi="宋体" w:eastAsia="宋体" w:cs="宋体"/>
          <w:sz w:val="24"/>
          <w:szCs w:val="24"/>
          <w:highlight w:val="none"/>
        </w:rPr>
      </w:pPr>
      <w:bookmarkStart w:id="12" w:name="六、造福员工"/>
      <w:bookmarkEnd w:id="12"/>
      <w:bookmarkStart w:id="13" w:name="_Toc24531710"/>
      <w:r>
        <w:rPr>
          <w:rFonts w:hint="eastAsia" w:ascii="宋体" w:hAnsi="宋体" w:eastAsia="宋体" w:cs="宋体"/>
          <w:b/>
          <w:bCs/>
          <w:sz w:val="24"/>
          <w:szCs w:val="24"/>
          <w:highlight w:val="none"/>
        </w:rPr>
        <w:t>六、造福员工</w:t>
      </w:r>
      <w:bookmarkEnd w:id="13"/>
    </w:p>
    <w:p>
      <w:pPr>
        <w:pStyle w:val="4"/>
        <w:spacing w:line="360" w:lineRule="auto"/>
        <w:ind w:right="359" w:firstLine="480"/>
        <w:rPr>
          <w:rFonts w:hint="eastAsia" w:ascii="宋体" w:hAnsi="宋体" w:eastAsia="宋体" w:cs="宋体"/>
          <w:sz w:val="24"/>
          <w:szCs w:val="24"/>
          <w:highlight w:val="none"/>
        </w:rPr>
      </w:pPr>
      <w:r>
        <w:rPr>
          <w:rFonts w:hint="eastAsia" w:ascii="宋体" w:hAnsi="宋体" w:eastAsia="宋体" w:cs="宋体"/>
          <w:spacing w:val="-10"/>
          <w:sz w:val="24"/>
          <w:szCs w:val="24"/>
          <w:highlight w:val="none"/>
        </w:rPr>
        <w:t>公司着力构建“</w:t>
      </w:r>
      <w:r>
        <w:rPr>
          <w:rFonts w:hint="eastAsia" w:cs="宋体"/>
          <w:spacing w:val="-10"/>
          <w:sz w:val="24"/>
          <w:szCs w:val="24"/>
          <w:highlight w:val="none"/>
          <w:lang w:eastAsia="zh-CN"/>
        </w:rPr>
        <w:t>一站式数字化管理，可持续高质量发展</w:t>
      </w:r>
      <w:r>
        <w:rPr>
          <w:rFonts w:hint="eastAsia" w:ascii="宋体" w:hAnsi="宋体" w:eastAsia="宋体" w:cs="宋体"/>
          <w:spacing w:val="-10"/>
          <w:sz w:val="24"/>
          <w:szCs w:val="24"/>
          <w:highlight w:val="none"/>
        </w:rPr>
        <w:t>”的</w:t>
      </w:r>
      <w:r>
        <w:rPr>
          <w:rFonts w:hint="eastAsia" w:ascii="宋体" w:hAnsi="宋体" w:eastAsia="宋体" w:cs="宋体"/>
          <w:sz w:val="24"/>
          <w:szCs w:val="24"/>
          <w:highlight w:val="none"/>
        </w:rPr>
        <w:t>企业文化，不断提升企业的软实力，让员工有尊严地工作和生活。</w:t>
      </w:r>
    </w:p>
    <w:p>
      <w:pPr>
        <w:pStyle w:val="15"/>
        <w:numPr>
          <w:ilvl w:val="1"/>
          <w:numId w:val="5"/>
        </w:numPr>
        <w:tabs>
          <w:tab w:val="left" w:pos="540"/>
        </w:tabs>
        <w:spacing w:before="166" w:line="360" w:lineRule="auto"/>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确保员工权益</w:t>
      </w:r>
    </w:p>
    <w:p>
      <w:pPr>
        <w:pStyle w:val="4"/>
        <w:spacing w:before="189" w:line="360" w:lineRule="auto"/>
        <w:ind w:right="359" w:firstLine="480"/>
        <w:jc w:val="both"/>
        <w:rPr>
          <w:rFonts w:hint="eastAsia" w:ascii="宋体" w:hAnsi="宋体" w:eastAsia="宋体" w:cs="宋体"/>
          <w:sz w:val="24"/>
          <w:szCs w:val="24"/>
          <w:highlight w:val="none"/>
        </w:rPr>
      </w:pPr>
      <w:r>
        <w:rPr>
          <w:rFonts w:hint="eastAsia" w:ascii="宋体" w:hAnsi="宋体" w:eastAsia="宋体" w:cs="宋体"/>
          <w:spacing w:val="-7"/>
          <w:sz w:val="24"/>
          <w:szCs w:val="24"/>
          <w:highlight w:val="none"/>
        </w:rPr>
        <w:t>在全球经济形势不稳定、变化多变的影响下，在公司身处逆境的时候，如何处理好职工利益和公司的利益关系，稳定队伍，凝聚人心，储备人才，是摆在公司管理层面前一个重要难题。员工是企业最宝贵的财富，企业的发展离不开员工</w:t>
      </w:r>
      <w:r>
        <w:rPr>
          <w:rFonts w:hint="eastAsia" w:ascii="宋体" w:hAnsi="宋体" w:eastAsia="宋体" w:cs="宋体"/>
          <w:spacing w:val="-21"/>
          <w:sz w:val="24"/>
          <w:szCs w:val="24"/>
          <w:highlight w:val="none"/>
        </w:rPr>
        <w:t xml:space="preserve">的辛勤劳动，公司始终秉承企业与员工“共赢发展”的理念，在企业发展的同时， </w:t>
      </w:r>
      <w:r>
        <w:rPr>
          <w:rFonts w:hint="eastAsia" w:ascii="宋体" w:hAnsi="宋体" w:eastAsia="宋体" w:cs="宋体"/>
          <w:spacing w:val="-8"/>
          <w:sz w:val="24"/>
          <w:szCs w:val="24"/>
          <w:highlight w:val="none"/>
        </w:rPr>
        <w:t>没有忘记对员工的回报，并致力于提高和改善员工的工作环境，职业发展平台以</w:t>
      </w:r>
      <w:r>
        <w:rPr>
          <w:rFonts w:hint="eastAsia" w:ascii="宋体" w:hAnsi="宋体" w:eastAsia="宋体" w:cs="宋体"/>
          <w:sz w:val="24"/>
          <w:szCs w:val="24"/>
          <w:highlight w:val="none"/>
        </w:rPr>
        <w:t>及合适的收入。</w:t>
      </w:r>
    </w:p>
    <w:p>
      <w:pPr>
        <w:pStyle w:val="4"/>
        <w:spacing w:before="6" w:line="360" w:lineRule="auto"/>
        <w:ind w:right="119" w:firstLine="480"/>
        <w:rPr>
          <w:rFonts w:hint="eastAsia" w:ascii="宋体" w:hAnsi="宋体" w:eastAsia="宋体" w:cs="宋体"/>
          <w:sz w:val="24"/>
          <w:szCs w:val="24"/>
          <w:highlight w:val="none"/>
        </w:rPr>
      </w:pPr>
      <w:r>
        <w:rPr>
          <w:rFonts w:hint="eastAsia" w:ascii="宋体" w:hAnsi="宋体" w:eastAsia="宋体" w:cs="宋体"/>
          <w:spacing w:val="-6"/>
          <w:sz w:val="24"/>
          <w:szCs w:val="24"/>
          <w:highlight w:val="none"/>
        </w:rPr>
        <w:t>当前制造行业市场不景气，需求总量大幅减少，企业订单大幅下滑，严峻的</w:t>
      </w:r>
      <w:r>
        <w:rPr>
          <w:rFonts w:hint="eastAsia" w:ascii="宋体" w:hAnsi="宋体" w:eastAsia="宋体" w:cs="宋体"/>
          <w:spacing w:val="-11"/>
          <w:sz w:val="24"/>
          <w:szCs w:val="24"/>
          <w:highlight w:val="none"/>
        </w:rPr>
        <w:t>经济环境给企业的生存带来了巨大压力，公司现有的人力资源素质和结构与经营</w:t>
      </w:r>
      <w:r>
        <w:rPr>
          <w:rFonts w:hint="eastAsia" w:ascii="宋体" w:hAnsi="宋体" w:eastAsia="宋体" w:cs="宋体"/>
          <w:spacing w:val="-12"/>
          <w:sz w:val="24"/>
          <w:szCs w:val="24"/>
          <w:highlight w:val="none"/>
        </w:rPr>
        <w:t>规模失调，更与公司转型新模式的要求不匹配。在此情况下，企业不得不进行结构调整，优化人力资源结构，推行减员增效。并采取多种方式竞争上岗。对于年</w:t>
      </w:r>
      <w:r>
        <w:rPr>
          <w:rFonts w:hint="eastAsia" w:ascii="宋体" w:hAnsi="宋体" w:eastAsia="宋体" w:cs="宋体"/>
          <w:spacing w:val="-15"/>
          <w:sz w:val="24"/>
          <w:szCs w:val="24"/>
          <w:highlight w:val="none"/>
        </w:rPr>
        <w:t xml:space="preserve">纪大的员工企业不是简单的将其推向社会，而是尽最大的能力提高内退标准，企 </w:t>
      </w:r>
      <w:r>
        <w:rPr>
          <w:rFonts w:hint="eastAsia" w:ascii="宋体" w:hAnsi="宋体" w:eastAsia="宋体" w:cs="宋体"/>
          <w:spacing w:val="-19"/>
          <w:sz w:val="24"/>
          <w:szCs w:val="24"/>
          <w:highlight w:val="none"/>
        </w:rPr>
        <w:t>业内退员工工资标准高于行业和地区的标准，能够满足内退人员的基本生活保障。</w:t>
      </w:r>
      <w:r>
        <w:rPr>
          <w:rFonts w:hint="eastAsia" w:ascii="宋体" w:hAnsi="宋体" w:eastAsia="宋体" w:cs="宋体"/>
          <w:sz w:val="24"/>
          <w:szCs w:val="24"/>
          <w:highlight w:val="none"/>
        </w:rPr>
        <w:t>公司在减员增效过程中，未发生任何影响企业稳定、社会稳定的不良事件。</w:t>
      </w:r>
    </w:p>
    <w:p>
      <w:pPr>
        <w:pStyle w:val="15"/>
        <w:numPr>
          <w:ilvl w:val="1"/>
          <w:numId w:val="5"/>
        </w:numPr>
        <w:tabs>
          <w:tab w:val="left" w:pos="540"/>
        </w:tabs>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重视职业健康安全</w:t>
      </w:r>
    </w:p>
    <w:p>
      <w:pPr>
        <w:pStyle w:val="4"/>
        <w:spacing w:before="190" w:line="360" w:lineRule="auto"/>
        <w:ind w:right="240" w:firstLine="480"/>
        <w:rPr>
          <w:rFonts w:hint="eastAsia" w:ascii="宋体" w:hAnsi="宋体" w:eastAsia="宋体" w:cs="宋体"/>
          <w:sz w:val="24"/>
          <w:szCs w:val="24"/>
          <w:highlight w:val="none"/>
        </w:rPr>
      </w:pPr>
      <w:r>
        <w:rPr>
          <w:rFonts w:hint="eastAsia" w:ascii="宋体" w:hAnsi="宋体" w:eastAsia="宋体" w:cs="宋体"/>
          <w:spacing w:val="-21"/>
          <w:sz w:val="24"/>
          <w:szCs w:val="24"/>
          <w:highlight w:val="none"/>
        </w:rPr>
        <w:t>公司始终坚持</w:t>
      </w:r>
      <w:r>
        <w:rPr>
          <w:rFonts w:hint="eastAsia" w:ascii="宋体" w:hAnsi="宋体" w:eastAsia="宋体" w:cs="宋体"/>
          <w:spacing w:val="-21"/>
          <w:sz w:val="24"/>
          <w:szCs w:val="24"/>
          <w:highlight w:val="none"/>
        </w:rPr>
        <w:t>“</w:t>
      </w:r>
      <w:r>
        <w:rPr>
          <w:rFonts w:hint="eastAsia" w:ascii="宋体" w:hAnsi="宋体" w:eastAsia="宋体" w:cs="宋体"/>
          <w:spacing w:val="-21"/>
          <w:sz w:val="24"/>
          <w:szCs w:val="24"/>
          <w:highlight w:val="none"/>
          <w:lang w:val="en-US" w:eastAsia="zh-CN"/>
        </w:rPr>
        <w:t>质量是成功的伙伴，贯标是质量的保障</w:t>
      </w:r>
      <w:r>
        <w:rPr>
          <w:rFonts w:hint="eastAsia" w:ascii="宋体" w:hAnsi="宋体" w:eastAsia="宋体" w:cs="宋体"/>
          <w:spacing w:val="-21"/>
          <w:sz w:val="24"/>
          <w:szCs w:val="24"/>
          <w:highlight w:val="none"/>
        </w:rPr>
        <w:t>”的方针，</w:t>
      </w:r>
      <w:r>
        <w:rPr>
          <w:rFonts w:hint="eastAsia" w:ascii="宋体" w:hAnsi="宋体" w:eastAsia="宋体" w:cs="宋体"/>
          <w:spacing w:val="-15"/>
          <w:sz w:val="24"/>
          <w:szCs w:val="24"/>
          <w:highlight w:val="none"/>
        </w:rPr>
        <w:t xml:space="preserve">以安全第一为核心要务，以超前预防作为安全工作的核心，以安全生产责任制为重点，以安全评价、考核、责任追究和过程动态控制为手段， </w:t>
      </w:r>
      <w:r>
        <w:rPr>
          <w:rFonts w:hint="eastAsia" w:ascii="宋体" w:hAnsi="宋体" w:eastAsia="宋体" w:cs="宋体"/>
          <w:spacing w:val="-1"/>
          <w:sz w:val="24"/>
          <w:szCs w:val="24"/>
          <w:highlight w:val="none"/>
        </w:rPr>
        <w:t>以安全教育培训为保障，以安全生产标准化为主体，建立安全生产持续改进的长效机制。</w:t>
      </w:r>
    </w:p>
    <w:p>
      <w:pPr>
        <w:pStyle w:val="4"/>
        <w:spacing w:before="189" w:line="360" w:lineRule="auto"/>
        <w:ind w:right="240" w:firstLine="480"/>
        <w:jc w:val="both"/>
        <w:rPr>
          <w:rFonts w:hint="eastAsia" w:ascii="宋体" w:hAnsi="宋体" w:eastAsia="宋体" w:cs="宋体"/>
          <w:spacing w:val="-4"/>
          <w:sz w:val="24"/>
          <w:szCs w:val="24"/>
          <w:highlight w:val="none"/>
        </w:rPr>
      </w:pPr>
      <w:r>
        <w:rPr>
          <w:rFonts w:hint="eastAsia" w:ascii="宋体" w:hAnsi="宋体" w:eastAsia="宋体" w:cs="宋体"/>
          <w:spacing w:val="-11"/>
          <w:sz w:val="24"/>
          <w:szCs w:val="24"/>
          <w:highlight w:val="none"/>
        </w:rPr>
        <w:t>公司十分重视、关爱员工的健康，除了按照国家及地方有关社会保险方面的</w:t>
      </w:r>
      <w:r>
        <w:rPr>
          <w:rFonts w:hint="eastAsia" w:ascii="宋体" w:hAnsi="宋体" w:eastAsia="宋体" w:cs="宋体"/>
          <w:spacing w:val="-22"/>
          <w:sz w:val="24"/>
          <w:szCs w:val="24"/>
          <w:highlight w:val="none"/>
        </w:rPr>
        <w:t xml:space="preserve">法律、法规参加社会养老保险、基本医疗保险、工伤保险、生育险等社会保险外， </w:t>
      </w:r>
      <w:r>
        <w:rPr>
          <w:rFonts w:hint="eastAsia" w:ascii="宋体" w:hAnsi="宋体" w:eastAsia="宋体" w:cs="宋体"/>
          <w:spacing w:val="-8"/>
          <w:sz w:val="24"/>
          <w:szCs w:val="24"/>
          <w:highlight w:val="none"/>
        </w:rPr>
        <w:t>为进一步</w:t>
      </w:r>
      <w:r>
        <w:rPr>
          <w:rFonts w:hint="eastAsia" w:ascii="宋体" w:hAnsi="宋体" w:eastAsia="宋体" w:cs="宋体"/>
          <w:spacing w:val="-4"/>
          <w:sz w:val="24"/>
          <w:szCs w:val="24"/>
          <w:highlight w:val="none"/>
        </w:rPr>
        <w:t>解决职工对医疗、健康的需求，为员工购买商业保险的补充医疗保险，为出差员工购买意外伤害保险，让职工更多的享受医疗保障，适度减轻个人住院费用负担、解决特殊工种岗位疾病导致的经济损失、补偿经常出差在外职工疾病、意外伤害和乘坐交通工具所引发的风险带来的损失，尽力完善员工的保障范围，免除员工的后顾之忧。</w:t>
      </w:r>
    </w:p>
    <w:p>
      <w:pPr>
        <w:pStyle w:val="4"/>
        <w:spacing w:before="189" w:line="360" w:lineRule="auto"/>
        <w:ind w:right="240" w:firstLine="480"/>
        <w:jc w:val="both"/>
        <w:rPr>
          <w:rFonts w:hint="eastAsia" w:ascii="宋体" w:hAnsi="宋体" w:eastAsia="宋体" w:cs="宋体"/>
          <w:sz w:val="24"/>
          <w:szCs w:val="24"/>
          <w:highlight w:val="none"/>
        </w:rPr>
      </w:pPr>
      <w:r>
        <w:rPr>
          <w:rFonts w:hint="eastAsia" w:ascii="宋体" w:hAnsi="宋体" w:eastAsia="宋体" w:cs="宋体"/>
          <w:spacing w:val="-4"/>
          <w:sz w:val="24"/>
          <w:szCs w:val="24"/>
          <w:highlight w:val="none"/>
        </w:rPr>
        <w:t>公司也十分重视职工群众的身心健康，内部成立的各类文娱小组，积极开展活</w:t>
      </w:r>
      <w:r>
        <w:rPr>
          <w:rFonts w:hint="eastAsia" w:ascii="宋体" w:hAnsi="宋体" w:eastAsia="宋体" w:cs="宋体"/>
          <w:spacing w:val="-21"/>
          <w:sz w:val="24"/>
          <w:szCs w:val="24"/>
          <w:highlight w:val="none"/>
        </w:rPr>
        <w:t xml:space="preserve">动，并组织了包括篮球、羽毛球、健身操等多场比赛。职工可以根据自己的爱好特长和情趣，加入协会， </w:t>
      </w:r>
      <w:r>
        <w:rPr>
          <w:rFonts w:hint="eastAsia" w:ascii="宋体" w:hAnsi="宋体" w:eastAsia="宋体" w:cs="宋体"/>
          <w:spacing w:val="-7"/>
          <w:sz w:val="24"/>
          <w:szCs w:val="24"/>
          <w:highlight w:val="none"/>
        </w:rPr>
        <w:t>展示自己的才华，提升品味，充实精神生活，既活跃了职工的精神生活，也增强了企业的向心力和凝聚力。</w:t>
      </w:r>
    </w:p>
    <w:p>
      <w:pPr>
        <w:pStyle w:val="15"/>
        <w:numPr>
          <w:ilvl w:val="1"/>
          <w:numId w:val="5"/>
        </w:numPr>
        <w:tabs>
          <w:tab w:val="left" w:pos="540"/>
        </w:tabs>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拓展员工职业成长</w:t>
      </w:r>
    </w:p>
    <w:p>
      <w:pPr>
        <w:pStyle w:val="4"/>
        <w:spacing w:before="189" w:line="360" w:lineRule="auto"/>
        <w:ind w:right="240" w:firstLine="480"/>
        <w:jc w:val="both"/>
        <w:rPr>
          <w:rFonts w:hint="eastAsia" w:ascii="宋体" w:hAnsi="宋体" w:eastAsia="宋体" w:cs="宋体"/>
          <w:sz w:val="24"/>
          <w:szCs w:val="24"/>
          <w:highlight w:val="none"/>
        </w:rPr>
      </w:pPr>
      <w:r>
        <w:rPr>
          <w:rFonts w:hint="eastAsia" w:ascii="宋体" w:hAnsi="宋体" w:eastAsia="宋体" w:cs="宋体"/>
          <w:spacing w:val="-4"/>
          <w:sz w:val="24"/>
          <w:szCs w:val="24"/>
          <w:highlight w:val="none"/>
        </w:rPr>
        <w:t>随着公司产品结构优化调整步伐加快以及尽快提高公司技术创新能力，适应</w:t>
      </w:r>
      <w:r>
        <w:rPr>
          <w:rFonts w:hint="eastAsia" w:ascii="宋体" w:hAnsi="宋体" w:eastAsia="宋体" w:cs="宋体"/>
          <w:spacing w:val="-10"/>
          <w:sz w:val="24"/>
          <w:szCs w:val="24"/>
          <w:highlight w:val="none"/>
        </w:rPr>
        <w:t>市场对科技人才的需求，现有技术人员资源已不能满足公司发展的需要，为保证</w:t>
      </w:r>
      <w:r>
        <w:rPr>
          <w:rFonts w:hint="eastAsia" w:ascii="宋体" w:hAnsi="宋体" w:eastAsia="宋体" w:cs="宋体"/>
          <w:spacing w:val="-13"/>
          <w:sz w:val="24"/>
          <w:szCs w:val="24"/>
          <w:highlight w:val="none"/>
        </w:rPr>
        <w:t>公司各技术岗位能够及时有效地补充所需的优秀人才，适时、适度、适量地招收</w:t>
      </w:r>
      <w:r>
        <w:rPr>
          <w:rFonts w:hint="eastAsia" w:ascii="宋体" w:hAnsi="宋体" w:eastAsia="宋体" w:cs="宋体"/>
          <w:spacing w:val="-17"/>
          <w:sz w:val="24"/>
          <w:szCs w:val="24"/>
          <w:highlight w:val="none"/>
        </w:rPr>
        <w:t>一批不同地区不同学校的优秀大中专应届毕业生，并加以培养，使其尽快胜任工作，解决公司现有人力资源不足，改善公司人才结构，提高公司人才创新能力。</w:t>
      </w:r>
    </w:p>
    <w:p>
      <w:pPr>
        <w:pStyle w:val="4"/>
        <w:spacing w:before="4" w:line="360" w:lineRule="auto"/>
        <w:ind w:right="240" w:firstLine="480"/>
        <w:rPr>
          <w:rFonts w:hint="eastAsia" w:ascii="宋体" w:hAnsi="宋体" w:eastAsia="宋体" w:cs="宋体"/>
          <w:sz w:val="24"/>
          <w:szCs w:val="24"/>
          <w:highlight w:val="none"/>
        </w:rPr>
      </w:pPr>
      <w:r>
        <w:rPr>
          <w:rFonts w:hint="eastAsia" w:ascii="宋体" w:hAnsi="宋体" w:eastAsia="宋体" w:cs="宋体"/>
          <w:spacing w:val="-6"/>
          <w:sz w:val="24"/>
          <w:szCs w:val="24"/>
          <w:highlight w:val="none"/>
        </w:rPr>
        <w:t>公司在招聘引进人才的同时，注重人才培养措施，根据公司发展的需要和稳</w:t>
      </w:r>
      <w:r>
        <w:rPr>
          <w:rFonts w:hint="eastAsia" w:ascii="宋体" w:hAnsi="宋体" w:eastAsia="宋体" w:cs="宋体"/>
          <w:spacing w:val="-12"/>
          <w:sz w:val="24"/>
          <w:szCs w:val="24"/>
          <w:highlight w:val="none"/>
        </w:rPr>
        <w:t>定人才的工作实际，建立技术、管理、技能人才骨干队伍，争取逐步形成结构合</w:t>
      </w:r>
      <w:r>
        <w:rPr>
          <w:rFonts w:hint="eastAsia" w:ascii="宋体" w:hAnsi="宋体" w:eastAsia="宋体" w:cs="宋体"/>
          <w:spacing w:val="-11"/>
          <w:sz w:val="24"/>
          <w:szCs w:val="24"/>
          <w:highlight w:val="none"/>
        </w:rPr>
        <w:t>理、高效精干的人才队伍群体，以满足公司参与市场竞争和追赶世界先进水平的</w:t>
      </w:r>
      <w:r>
        <w:rPr>
          <w:rFonts w:hint="eastAsia" w:ascii="宋体" w:hAnsi="宋体" w:eastAsia="宋体" w:cs="宋体"/>
          <w:spacing w:val="-20"/>
          <w:sz w:val="24"/>
          <w:szCs w:val="24"/>
          <w:highlight w:val="none"/>
        </w:rPr>
        <w:t>需要。为此，企业制定了人才培养措施和人才培训计划，确立“人才经营”和“逐级育人”的理念，面向市场和研发，实施人力结构调整，着力建设后备人才库、</w:t>
      </w:r>
      <w:r>
        <w:rPr>
          <w:rFonts w:hint="eastAsia" w:ascii="宋体" w:hAnsi="宋体" w:eastAsia="宋体" w:cs="宋体"/>
          <w:spacing w:val="-8"/>
          <w:sz w:val="24"/>
          <w:szCs w:val="24"/>
          <w:highlight w:val="none"/>
        </w:rPr>
        <w:t>开发分类课程、优化内部讲师队伍、打造校企合作基地、依托网络系统搭建</w:t>
      </w:r>
      <w:r>
        <w:rPr>
          <w:rFonts w:hint="eastAsia" w:cs="宋体"/>
          <w:spacing w:val="-8"/>
          <w:sz w:val="24"/>
          <w:szCs w:val="24"/>
          <w:highlight w:val="none"/>
          <w:lang w:eastAsia="zh-CN"/>
        </w:rPr>
        <w:t>益大</w:t>
      </w:r>
      <w:r>
        <w:rPr>
          <w:rFonts w:hint="eastAsia" w:ascii="宋体" w:hAnsi="宋体" w:eastAsia="宋体" w:cs="宋体"/>
          <w:spacing w:val="-12"/>
          <w:sz w:val="24"/>
          <w:szCs w:val="24"/>
          <w:highlight w:val="none"/>
        </w:rPr>
        <w:t>网络学习平台，重点实施营销人才、核心管理人才、关键技术人才、重点高技</w:t>
      </w:r>
      <w:r>
        <w:rPr>
          <w:rFonts w:hint="eastAsia" w:ascii="宋体" w:hAnsi="宋体" w:eastAsia="宋体" w:cs="宋体"/>
          <w:spacing w:val="-11"/>
          <w:sz w:val="24"/>
          <w:szCs w:val="24"/>
          <w:highlight w:val="none"/>
        </w:rPr>
        <w:t>能人才、班组长、三年以内新员工、第二能力开发等几大人才培育专项工程。这</w:t>
      </w:r>
      <w:r>
        <w:rPr>
          <w:rFonts w:hint="eastAsia" w:ascii="宋体" w:hAnsi="宋体" w:eastAsia="宋体" w:cs="宋体"/>
          <w:spacing w:val="-13"/>
          <w:sz w:val="24"/>
          <w:szCs w:val="24"/>
          <w:highlight w:val="none"/>
        </w:rPr>
        <w:t>些措施计划，有利于增强人才队伍的责任感和使命感，强化企业荣誉感和忠诚教</w:t>
      </w:r>
      <w:r>
        <w:rPr>
          <w:rFonts w:hint="eastAsia" w:ascii="宋体" w:hAnsi="宋体" w:eastAsia="宋体" w:cs="宋体"/>
          <w:spacing w:val="-11"/>
          <w:sz w:val="24"/>
          <w:szCs w:val="24"/>
          <w:highlight w:val="none"/>
        </w:rPr>
        <w:t>育度，提高人才队伍的工作主动性、创造紧迫性，这不仅是公司发展需要，也是</w:t>
      </w:r>
      <w:r>
        <w:rPr>
          <w:rFonts w:hint="eastAsia" w:ascii="宋体" w:hAnsi="宋体" w:eastAsia="宋体" w:cs="宋体"/>
          <w:spacing w:val="-15"/>
          <w:sz w:val="24"/>
          <w:szCs w:val="24"/>
          <w:highlight w:val="none"/>
        </w:rPr>
        <w:t>国家建设制造强国的需要。公司不断完善用人机制，大力营造一个良好的施才环境，加大优秀人才的引进力度，以待遇吸引人，以事业留住人，以感情打动人。</w:t>
      </w:r>
      <w:r>
        <w:rPr>
          <w:rFonts w:hint="eastAsia" w:ascii="宋体" w:hAnsi="宋体" w:eastAsia="宋体" w:cs="宋体"/>
          <w:spacing w:val="-22"/>
          <w:sz w:val="24"/>
          <w:szCs w:val="24"/>
          <w:highlight w:val="none"/>
        </w:rPr>
        <w:t>采取多种渠道发现、培养、造就人才，实施“走出去、引进来”两条腿走路方略， 促进人才队伍技术技能素质的迅速提升。</w:t>
      </w:r>
    </w:p>
    <w:p>
      <w:pPr>
        <w:pStyle w:val="15"/>
        <w:numPr>
          <w:ilvl w:val="1"/>
          <w:numId w:val="5"/>
        </w:numPr>
        <w:tabs>
          <w:tab w:val="left" w:pos="540"/>
        </w:tabs>
        <w:spacing w:before="12"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完善管理体制与软环境建设</w:t>
      </w:r>
    </w:p>
    <w:p>
      <w:pPr>
        <w:pStyle w:val="4"/>
        <w:spacing w:before="189" w:line="360" w:lineRule="auto"/>
        <w:ind w:left="600"/>
        <w:rPr>
          <w:rFonts w:hint="eastAsia" w:ascii="宋体" w:hAnsi="宋体" w:eastAsia="宋体" w:cs="宋体"/>
          <w:sz w:val="24"/>
          <w:szCs w:val="24"/>
          <w:highlight w:val="none"/>
        </w:rPr>
      </w:pPr>
      <w:r>
        <w:rPr>
          <w:rFonts w:hint="eastAsia" w:ascii="宋体" w:hAnsi="宋体" w:eastAsia="宋体" w:cs="宋体"/>
          <w:sz w:val="24"/>
          <w:szCs w:val="24"/>
          <w:highlight w:val="none"/>
        </w:rPr>
        <w:t>公司建立了以人为本的人力资源开发和管理工作系统、激励机制和员工培训</w:t>
      </w:r>
    </w:p>
    <w:p>
      <w:pPr>
        <w:pStyle w:val="4"/>
        <w:spacing w:before="166" w:line="360" w:lineRule="auto"/>
        <w:ind w:left="0" w:right="240"/>
        <w:rPr>
          <w:rFonts w:hint="eastAsia" w:ascii="宋体" w:hAnsi="宋体" w:eastAsia="宋体" w:cs="宋体"/>
          <w:sz w:val="24"/>
          <w:szCs w:val="24"/>
          <w:highlight w:val="none"/>
        </w:rPr>
      </w:pPr>
      <w:r>
        <w:rPr>
          <w:rFonts w:hint="eastAsia" w:ascii="宋体" w:hAnsi="宋体" w:eastAsia="宋体" w:cs="宋体"/>
          <w:spacing w:val="-1"/>
          <w:sz w:val="24"/>
          <w:szCs w:val="24"/>
          <w:highlight w:val="none"/>
        </w:rPr>
        <w:t>与教育体系。公司始终坚持观念创新、制度创新的原则，创造一种公平、公正、</w:t>
      </w:r>
      <w:r>
        <w:rPr>
          <w:rFonts w:hint="eastAsia" w:ascii="宋体" w:hAnsi="宋体" w:eastAsia="宋体" w:cs="宋体"/>
          <w:spacing w:val="-9"/>
          <w:sz w:val="24"/>
          <w:szCs w:val="24"/>
          <w:highlight w:val="none"/>
        </w:rPr>
        <w:t>公开的氛围，建立一套充分发挥个人潜能的机制，提供一个充分实现自我价值的</w:t>
      </w:r>
      <w:r>
        <w:rPr>
          <w:rFonts w:hint="eastAsia" w:ascii="宋体" w:hAnsi="宋体" w:eastAsia="宋体" w:cs="宋体"/>
          <w:spacing w:val="-11"/>
          <w:sz w:val="24"/>
          <w:szCs w:val="24"/>
          <w:highlight w:val="none"/>
        </w:rPr>
        <w:t>发展空间。公司</w:t>
      </w:r>
      <w:r>
        <w:rPr>
          <w:rFonts w:hint="eastAsia" w:cs="宋体"/>
          <w:spacing w:val="-11"/>
          <w:sz w:val="24"/>
          <w:szCs w:val="24"/>
          <w:highlight w:val="none"/>
          <w:lang w:eastAsia="zh-CN"/>
        </w:rPr>
        <w:t>行政部</w:t>
      </w:r>
      <w:r>
        <w:rPr>
          <w:rFonts w:hint="eastAsia" w:ascii="宋体" w:hAnsi="宋体" w:eastAsia="宋体" w:cs="宋体"/>
          <w:spacing w:val="-11"/>
          <w:sz w:val="24"/>
          <w:szCs w:val="24"/>
          <w:highlight w:val="none"/>
        </w:rPr>
        <w:t>对各部门岗位进行普查，并进行关键岗位识别，加大</w:t>
      </w:r>
      <w:r>
        <w:rPr>
          <w:rFonts w:hint="eastAsia" w:ascii="宋体" w:hAnsi="宋体" w:eastAsia="宋体" w:cs="宋体"/>
          <w:spacing w:val="-21"/>
          <w:sz w:val="24"/>
          <w:szCs w:val="24"/>
          <w:highlight w:val="none"/>
        </w:rPr>
        <w:t xml:space="preserve">对关键岗位的人力资源配置和管理，建设公司后备人才梯队，完善人才引入制度， </w:t>
      </w:r>
      <w:r>
        <w:rPr>
          <w:rFonts w:hint="eastAsia" w:ascii="宋体" w:hAnsi="宋体" w:eastAsia="宋体" w:cs="宋体"/>
          <w:sz w:val="24"/>
          <w:szCs w:val="24"/>
          <w:highlight w:val="none"/>
        </w:rPr>
        <w:t>形成“能吸引、有门槛、留得住、有限制”的合理化人力资源管理。</w:t>
      </w:r>
    </w:p>
    <w:p>
      <w:pPr>
        <w:pStyle w:val="4"/>
        <w:spacing w:before="4" w:line="360" w:lineRule="auto"/>
        <w:ind w:right="355" w:firstLine="480"/>
        <w:jc w:val="both"/>
        <w:rPr>
          <w:rFonts w:hint="eastAsia" w:ascii="宋体" w:hAnsi="宋体" w:eastAsia="宋体" w:cs="宋体"/>
          <w:sz w:val="24"/>
          <w:szCs w:val="24"/>
          <w:highlight w:val="none"/>
        </w:rPr>
      </w:pPr>
      <w:r>
        <w:rPr>
          <w:rFonts w:hint="eastAsia" w:ascii="宋体" w:hAnsi="宋体" w:eastAsia="宋体" w:cs="宋体"/>
          <w:spacing w:val="-6"/>
          <w:sz w:val="24"/>
          <w:szCs w:val="24"/>
          <w:highlight w:val="none"/>
        </w:rPr>
        <w:t>人才的培养离不开软环境和硬环境的建设，软环境方面，加强技术人员、管</w:t>
      </w:r>
      <w:r>
        <w:rPr>
          <w:rFonts w:hint="eastAsia" w:ascii="宋体" w:hAnsi="宋体" w:eastAsia="宋体" w:cs="宋体"/>
          <w:spacing w:val="-11"/>
          <w:sz w:val="24"/>
          <w:szCs w:val="24"/>
          <w:highlight w:val="none"/>
        </w:rPr>
        <w:t>理人员、技术工人的团队建设，团队作为一个集体，是一个企业发展和竞争的核</w:t>
      </w:r>
      <w:r>
        <w:rPr>
          <w:rFonts w:hint="eastAsia" w:ascii="宋体" w:hAnsi="宋体" w:eastAsia="宋体" w:cs="宋体"/>
          <w:spacing w:val="-21"/>
          <w:sz w:val="24"/>
          <w:szCs w:val="24"/>
          <w:highlight w:val="none"/>
        </w:rPr>
        <w:t xml:space="preserve">心力量，企业与企业之间的竞争，关键是团队与团队之间的竞争，通过领导协调， </w:t>
      </w:r>
      <w:r>
        <w:rPr>
          <w:rFonts w:hint="eastAsia" w:ascii="宋体" w:hAnsi="宋体" w:eastAsia="宋体" w:cs="宋体"/>
          <w:spacing w:val="-9"/>
          <w:sz w:val="24"/>
          <w:szCs w:val="24"/>
          <w:highlight w:val="none"/>
        </w:rPr>
        <w:t>各团队分工合作，互敬、互爱、互助、互学，逐渐磨合，形成优势互补、取长补短，相互克服、相互激发，最终实现最高的工作效率。</w:t>
      </w:r>
    </w:p>
    <w:p>
      <w:pPr>
        <w:pStyle w:val="15"/>
        <w:numPr>
          <w:ilvl w:val="1"/>
          <w:numId w:val="5"/>
        </w:numPr>
        <w:tabs>
          <w:tab w:val="left" w:pos="540"/>
        </w:tabs>
        <w:spacing w:before="6" w:line="360" w:lineRule="auto"/>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构建祥和工作氛围</w:t>
      </w:r>
    </w:p>
    <w:p>
      <w:pPr>
        <w:pStyle w:val="4"/>
        <w:spacing w:before="187" w:line="360" w:lineRule="auto"/>
        <w:ind w:right="240" w:firstLine="480"/>
        <w:rPr>
          <w:rFonts w:hint="eastAsia" w:ascii="宋体" w:hAnsi="宋体" w:eastAsia="宋体" w:cs="宋体"/>
          <w:sz w:val="24"/>
          <w:szCs w:val="24"/>
          <w:highlight w:val="none"/>
        </w:rPr>
      </w:pPr>
      <w:r>
        <w:rPr>
          <w:rFonts w:hint="eastAsia" w:ascii="宋体" w:hAnsi="宋体" w:eastAsia="宋体" w:cs="宋体"/>
          <w:spacing w:val="-6"/>
          <w:sz w:val="24"/>
          <w:szCs w:val="24"/>
          <w:highlight w:val="none"/>
        </w:rPr>
        <w:t>公司十分注重调动全体员工的积极性，在推出与员工切身利益密切相关的政</w:t>
      </w:r>
      <w:r>
        <w:rPr>
          <w:rFonts w:hint="eastAsia" w:ascii="宋体" w:hAnsi="宋体" w:eastAsia="宋体" w:cs="宋体"/>
          <w:spacing w:val="-10"/>
          <w:sz w:val="24"/>
          <w:szCs w:val="24"/>
          <w:highlight w:val="none"/>
        </w:rPr>
        <w:t>策、规定时，公司都通过座谈会、协商会、专题调研等形式，广泛听取意见。对</w:t>
      </w:r>
      <w:r>
        <w:rPr>
          <w:rFonts w:hint="eastAsia" w:ascii="宋体" w:hAnsi="宋体" w:eastAsia="宋体" w:cs="宋体"/>
          <w:spacing w:val="-14"/>
          <w:sz w:val="24"/>
          <w:szCs w:val="24"/>
          <w:highlight w:val="none"/>
        </w:rPr>
        <w:t>职工反映的问题进行认真地调查并通过职工代表大会方式进行讨论、研究，给予解决和答复，使广大员工感受到自己是企业的主人，企业是自己的家。</w:t>
      </w:r>
      <w:r>
        <w:rPr>
          <w:rFonts w:hint="eastAsia" w:ascii="宋体" w:hAnsi="宋体" w:eastAsia="宋体" w:cs="宋体"/>
          <w:spacing w:val="-6"/>
          <w:sz w:val="24"/>
          <w:szCs w:val="24"/>
          <w:highlight w:val="none"/>
        </w:rPr>
        <w:t>为使员工了解企业的经营情况、发展战略、改革措施等重大事项，搭建员工与高</w:t>
      </w:r>
      <w:r>
        <w:rPr>
          <w:rFonts w:hint="eastAsia" w:ascii="宋体" w:hAnsi="宋体" w:eastAsia="宋体" w:cs="宋体"/>
          <w:spacing w:val="-7"/>
          <w:sz w:val="24"/>
          <w:szCs w:val="24"/>
          <w:highlight w:val="none"/>
        </w:rPr>
        <w:t xml:space="preserve">层管理人员的有效沟通平台和渠道。公司工会制定了员工定期座谈会管理办法， </w:t>
      </w:r>
      <w:r>
        <w:rPr>
          <w:rFonts w:hint="eastAsia" w:ascii="宋体" w:hAnsi="宋体" w:eastAsia="宋体" w:cs="宋体"/>
          <w:spacing w:val="-20"/>
          <w:sz w:val="24"/>
          <w:szCs w:val="24"/>
          <w:highlight w:val="none"/>
        </w:rPr>
        <w:t>每月</w:t>
      </w:r>
      <w:r>
        <w:rPr>
          <w:rFonts w:hint="eastAsia" w:ascii="宋体" w:hAnsi="宋体" w:eastAsia="宋体" w:cs="宋体"/>
          <w:sz w:val="24"/>
          <w:szCs w:val="24"/>
          <w:highlight w:val="none"/>
        </w:rPr>
        <w:t>有固定时间</w:t>
      </w:r>
      <w:r>
        <w:rPr>
          <w:rFonts w:hint="eastAsia" w:ascii="宋体" w:hAnsi="宋体" w:eastAsia="宋体" w:cs="宋体"/>
          <w:spacing w:val="-8"/>
          <w:sz w:val="24"/>
          <w:szCs w:val="24"/>
          <w:highlight w:val="none"/>
        </w:rPr>
        <w:t>定为员工接待日，听取员工对公司发展过程中的意见和建议及员工最关心、最直接的问题和意见，解答员工的凝问。</w:t>
      </w:r>
    </w:p>
    <w:p>
      <w:pPr>
        <w:pStyle w:val="4"/>
        <w:spacing w:before="9" w:line="360" w:lineRule="auto"/>
        <w:ind w:right="359" w:firstLine="480"/>
        <w:jc w:val="both"/>
        <w:rPr>
          <w:rFonts w:hint="eastAsia" w:ascii="宋体" w:hAnsi="宋体" w:eastAsia="宋体" w:cs="宋体"/>
          <w:sz w:val="24"/>
          <w:szCs w:val="24"/>
          <w:highlight w:val="none"/>
        </w:rPr>
      </w:pPr>
      <w:r>
        <w:rPr>
          <w:rFonts w:hint="eastAsia" w:ascii="宋体" w:hAnsi="宋体" w:eastAsia="宋体" w:cs="宋体"/>
          <w:spacing w:val="-10"/>
          <w:sz w:val="24"/>
          <w:szCs w:val="24"/>
          <w:highlight w:val="none"/>
        </w:rPr>
        <w:t>同时，通过举办多种多样的文艺活动、体育竞赛、素质拓展、培训讨论等活</w:t>
      </w:r>
      <w:r>
        <w:rPr>
          <w:rFonts w:hint="eastAsia" w:ascii="宋体" w:hAnsi="宋体" w:eastAsia="宋体" w:cs="宋体"/>
          <w:spacing w:val="-7"/>
          <w:sz w:val="24"/>
          <w:szCs w:val="24"/>
          <w:highlight w:val="none"/>
        </w:rPr>
        <w:t>动来增强员工凝聚力和向心力，提高员工身心素质。家庭是企业的细胞，只有职</w:t>
      </w:r>
      <w:r>
        <w:rPr>
          <w:rFonts w:hint="eastAsia" w:ascii="宋体" w:hAnsi="宋体" w:eastAsia="宋体" w:cs="宋体"/>
          <w:spacing w:val="-8"/>
          <w:sz w:val="24"/>
          <w:szCs w:val="24"/>
          <w:highlight w:val="none"/>
        </w:rPr>
        <w:t>工家庭唱响和谐之音，职工才能全力以赴地投入到工作中，企业才能实现稳定发</w:t>
      </w:r>
      <w:r>
        <w:rPr>
          <w:rFonts w:hint="eastAsia" w:ascii="宋体" w:hAnsi="宋体" w:eastAsia="宋体" w:cs="宋体"/>
          <w:spacing w:val="-10"/>
          <w:sz w:val="24"/>
          <w:szCs w:val="24"/>
          <w:highlight w:val="none"/>
        </w:rPr>
        <w:t>展。公司深入实施文明家庭创建工程，努力构建和谐稳定家园，为公司的稳定健</w:t>
      </w:r>
      <w:r>
        <w:rPr>
          <w:rFonts w:hint="eastAsia" w:ascii="宋体" w:hAnsi="宋体" w:eastAsia="宋体" w:cs="宋体"/>
          <w:sz w:val="24"/>
          <w:szCs w:val="24"/>
          <w:highlight w:val="none"/>
        </w:rPr>
        <w:t>康发展创造安定向上的良好氛围。</w:t>
      </w:r>
    </w:p>
    <w:p>
      <w:pPr>
        <w:pStyle w:val="3"/>
        <w:numPr>
          <w:ilvl w:val="0"/>
          <w:numId w:val="6"/>
        </w:numPr>
        <w:spacing w:line="360" w:lineRule="auto"/>
        <w:rPr>
          <w:rFonts w:hint="eastAsia" w:ascii="宋体" w:hAnsi="宋体" w:eastAsia="宋体" w:cs="宋体"/>
          <w:b/>
          <w:bCs/>
          <w:sz w:val="24"/>
          <w:szCs w:val="24"/>
          <w:highlight w:val="none"/>
        </w:rPr>
      </w:pPr>
      <w:bookmarkStart w:id="14" w:name="七、奉献社会"/>
      <w:bookmarkEnd w:id="14"/>
      <w:bookmarkStart w:id="15" w:name="_Toc24531711"/>
      <w:r>
        <w:rPr>
          <w:rFonts w:hint="eastAsia" w:ascii="宋体" w:hAnsi="宋体" w:eastAsia="宋体" w:cs="宋体"/>
          <w:b/>
          <w:bCs/>
          <w:sz w:val="24"/>
          <w:szCs w:val="24"/>
          <w:highlight w:val="none"/>
        </w:rPr>
        <w:t>奉献社会</w:t>
      </w:r>
      <w:bookmarkEnd w:id="15"/>
    </w:p>
    <w:p>
      <w:pPr>
        <w:numPr>
          <w:ilvl w:val="0"/>
          <w:numId w:val="0"/>
        </w:numPr>
        <w:rPr>
          <w:rFonts w:hint="eastAsia"/>
        </w:rPr>
      </w:pPr>
    </w:p>
    <w:p>
      <w:pPr>
        <w:pStyle w:val="3"/>
        <w:spacing w:line="360" w:lineRule="auto"/>
        <w:ind w:firstLine="480" w:firstLineChars="200"/>
        <w:rPr>
          <w:rFonts w:hint="eastAsia" w:ascii="宋体" w:hAnsi="宋体" w:eastAsia="宋体" w:cs="宋体"/>
          <w:sz w:val="24"/>
          <w:szCs w:val="24"/>
          <w:highlight w:val="none"/>
        </w:rPr>
      </w:pPr>
      <w:bookmarkStart w:id="16" w:name="八、合作伙伴"/>
      <w:bookmarkEnd w:id="16"/>
      <w:bookmarkStart w:id="17" w:name="_Toc24531712"/>
      <w:r>
        <w:rPr>
          <w:rFonts w:hint="eastAsia" w:ascii="宋体" w:hAnsi="宋体" w:eastAsia="宋体" w:cs="宋体"/>
          <w:sz w:val="24"/>
          <w:szCs w:val="24"/>
          <w:highlight w:val="none"/>
        </w:rPr>
        <w:t>公司在发展同时，不忘饮水思源，积极参与社会公益，奉献力所能及的力量。历年来，我们在扶贫结对、拥军助学、公共设施建设援助、慰问老人协会等社会团体、重大突发性自然灾害救助等方面多有爱心，积极作出力所能及的奉献。根据企业自身发展状况以及所处行业，公司将积极参与扶危济困等慈善事业和促进行业发展确定为开展公益活动的重点方向。</w:t>
      </w:r>
      <w:r>
        <w:rPr>
          <w:rFonts w:hint="eastAsia" w:ascii="宋体" w:hAnsi="宋体" w:cs="宋体"/>
          <w:sz w:val="24"/>
          <w:highlight w:val="none"/>
        </w:rPr>
        <w:t>近</w:t>
      </w:r>
      <w:r>
        <w:rPr>
          <w:rFonts w:hint="eastAsia" w:ascii="宋体" w:hAnsi="宋体" w:cs="宋体"/>
          <w:sz w:val="24"/>
          <w:highlight w:val="none"/>
          <w:lang w:val="en-US" w:eastAsia="zh-CN"/>
        </w:rPr>
        <w:t>三</w:t>
      </w:r>
      <w:r>
        <w:rPr>
          <w:rFonts w:hint="eastAsia" w:ascii="宋体" w:hAnsi="宋体" w:cs="宋体"/>
          <w:sz w:val="24"/>
          <w:highlight w:val="none"/>
        </w:rPr>
        <w:t>年来公司为公益事业捐赠</w:t>
      </w:r>
      <w:r>
        <w:rPr>
          <w:rFonts w:hint="eastAsia" w:cs="宋体"/>
          <w:sz w:val="24"/>
          <w:highlight w:val="none"/>
          <w:lang w:val="en-US" w:eastAsia="zh-CN"/>
        </w:rPr>
        <w:t>10.5</w:t>
      </w:r>
      <w:r>
        <w:rPr>
          <w:rFonts w:hint="eastAsia" w:ascii="宋体" w:hAnsi="宋体" w:cs="宋体"/>
          <w:sz w:val="24"/>
          <w:highlight w:val="none"/>
        </w:rPr>
        <w:t>万元</w:t>
      </w:r>
      <w:r>
        <w:rPr>
          <w:rFonts w:hint="eastAsia" w:ascii="宋体" w:hAnsi="宋体" w:eastAsia="宋体" w:cs="宋体"/>
          <w:sz w:val="24"/>
          <w:szCs w:val="24"/>
          <w:highlight w:val="none"/>
        </w:rPr>
        <w:t>等。</w:t>
      </w:r>
    </w:p>
    <w:p>
      <w:pPr>
        <w:pStyle w:val="3"/>
        <w:numPr>
          <w:ilvl w:val="0"/>
          <w:numId w:val="6"/>
        </w:numPr>
        <w:spacing w:line="360" w:lineRule="auto"/>
        <w:ind w:left="120" w:leftChars="0" w:firstLine="0" w:firstLineChars="0"/>
        <w:rPr>
          <w:rFonts w:hint="eastAsia" w:ascii="宋体" w:hAnsi="宋体" w:eastAsia="宋体" w:cs="宋体"/>
          <w:b/>
          <w:bCs/>
          <w:spacing w:val="-1"/>
          <w:sz w:val="24"/>
          <w:szCs w:val="24"/>
          <w:highlight w:val="none"/>
        </w:rPr>
      </w:pPr>
      <w:r>
        <w:rPr>
          <w:rFonts w:hint="eastAsia" w:ascii="宋体" w:hAnsi="宋体" w:eastAsia="宋体" w:cs="宋体"/>
          <w:b/>
          <w:bCs/>
          <w:spacing w:val="-1"/>
          <w:sz w:val="24"/>
          <w:szCs w:val="24"/>
          <w:highlight w:val="none"/>
        </w:rPr>
        <w:t>合作伙伴</w:t>
      </w:r>
      <w:bookmarkEnd w:id="17"/>
    </w:p>
    <w:p>
      <w:pPr>
        <w:numPr>
          <w:ilvl w:val="0"/>
          <w:numId w:val="0"/>
        </w:numPr>
        <w:ind w:left="120" w:leftChars="0"/>
        <w:rPr>
          <w:rFonts w:hint="eastAsia"/>
        </w:rPr>
      </w:pPr>
    </w:p>
    <w:p>
      <w:pPr>
        <w:pStyle w:val="4"/>
        <w:spacing w:line="360" w:lineRule="auto"/>
        <w:ind w:right="359" w:firstLine="480"/>
        <w:jc w:val="both"/>
        <w:rPr>
          <w:rFonts w:hint="eastAsia" w:ascii="宋体" w:hAnsi="宋体" w:eastAsia="宋体" w:cs="宋体"/>
          <w:sz w:val="24"/>
          <w:szCs w:val="24"/>
          <w:highlight w:val="none"/>
        </w:rPr>
      </w:pPr>
      <w:r>
        <w:rPr>
          <w:rFonts w:hint="eastAsia" w:ascii="宋体" w:hAnsi="宋体" w:eastAsia="宋体" w:cs="宋体"/>
          <w:spacing w:val="-6"/>
          <w:sz w:val="24"/>
          <w:szCs w:val="24"/>
          <w:highlight w:val="none"/>
        </w:rPr>
        <w:t>每一个伙伴关系都有其独特的成功因素，这与公司独特的环境相关联。然而</w:t>
      </w:r>
      <w:r>
        <w:rPr>
          <w:rFonts w:hint="eastAsia" w:ascii="宋体" w:hAnsi="宋体" w:eastAsia="宋体" w:cs="宋体"/>
          <w:spacing w:val="-7"/>
          <w:sz w:val="24"/>
          <w:szCs w:val="24"/>
          <w:highlight w:val="none"/>
        </w:rPr>
        <w:t>在不同产业国家与市场中，每个成功企业的业绩后面，有三个共同的因素存在于</w:t>
      </w:r>
      <w:r>
        <w:rPr>
          <w:rFonts w:hint="eastAsia" w:ascii="宋体" w:hAnsi="宋体" w:eastAsia="宋体" w:cs="宋体"/>
          <w:spacing w:val="-9"/>
          <w:sz w:val="24"/>
          <w:szCs w:val="24"/>
          <w:highlight w:val="none"/>
        </w:rPr>
        <w:t>每个成功的伙伴关系中：贡献、亲密、远景。这三个因素是促使伙伴关系成功不</w:t>
      </w:r>
      <w:r>
        <w:rPr>
          <w:rFonts w:hint="eastAsia" w:ascii="宋体" w:hAnsi="宋体" w:eastAsia="宋体" w:cs="宋体"/>
          <w:sz w:val="24"/>
          <w:szCs w:val="24"/>
          <w:highlight w:val="none"/>
        </w:rPr>
        <w:t>可或缺的因素。</w:t>
      </w:r>
    </w:p>
    <w:p>
      <w:pPr>
        <w:pStyle w:val="15"/>
        <w:numPr>
          <w:ilvl w:val="1"/>
          <w:numId w:val="7"/>
        </w:numPr>
        <w:tabs>
          <w:tab w:val="left" w:pos="540"/>
        </w:tabs>
        <w:spacing w:before="2" w:line="360" w:lineRule="auto"/>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共享共赢</w:t>
      </w:r>
    </w:p>
    <w:p>
      <w:pPr>
        <w:pStyle w:val="4"/>
        <w:spacing w:before="190" w:line="360" w:lineRule="auto"/>
        <w:ind w:right="239" w:firstLine="480"/>
        <w:rPr>
          <w:rFonts w:hint="eastAsia" w:ascii="宋体" w:hAnsi="宋体" w:eastAsia="宋体" w:cs="宋体"/>
          <w:sz w:val="24"/>
          <w:szCs w:val="24"/>
          <w:highlight w:val="none"/>
        </w:rPr>
      </w:pPr>
      <w:r>
        <w:rPr>
          <w:rFonts w:hint="eastAsia" w:ascii="宋体" w:hAnsi="宋体" w:eastAsia="宋体" w:cs="宋体"/>
          <w:spacing w:val="-12"/>
          <w:sz w:val="24"/>
          <w:szCs w:val="24"/>
          <w:highlight w:val="none"/>
        </w:rPr>
        <w:t>公司早</w:t>
      </w:r>
      <w:r>
        <w:rPr>
          <w:rFonts w:hint="eastAsia" w:ascii="宋体" w:hAnsi="宋体" w:eastAsia="宋体" w:cs="宋体"/>
          <w:spacing w:val="-15"/>
          <w:sz w:val="24"/>
          <w:szCs w:val="24"/>
          <w:highlight w:val="none"/>
        </w:rPr>
        <w:t xml:space="preserve">年就推行供应商整合调整项目，即培养一批优秀的供应商， </w:t>
      </w:r>
      <w:r>
        <w:rPr>
          <w:rFonts w:hint="eastAsia" w:ascii="宋体" w:hAnsi="宋体" w:eastAsia="宋体" w:cs="宋体"/>
          <w:spacing w:val="-5"/>
          <w:sz w:val="24"/>
          <w:szCs w:val="24"/>
          <w:highlight w:val="none"/>
        </w:rPr>
        <w:t>合并或放弃一批零散繁杂的小供应商，使得供应商的积极性得到了充分发挥，公</w:t>
      </w:r>
      <w:r>
        <w:rPr>
          <w:rFonts w:hint="eastAsia" w:ascii="宋体" w:hAnsi="宋体" w:eastAsia="宋体" w:cs="宋体"/>
          <w:spacing w:val="-10"/>
          <w:sz w:val="24"/>
          <w:szCs w:val="24"/>
          <w:highlight w:val="none"/>
        </w:rPr>
        <w:t>司与供应商的关系不再是简单的买卖关系，而是一种共生共荣，共享共赢的战略合作伙伴关</w:t>
      </w:r>
      <w:r>
        <w:rPr>
          <w:rFonts w:hint="eastAsia" w:ascii="宋体" w:hAnsi="宋体" w:eastAsia="宋体" w:cs="宋体"/>
          <w:spacing w:val="-13"/>
          <w:sz w:val="24"/>
          <w:szCs w:val="24"/>
          <w:highlight w:val="none"/>
        </w:rPr>
        <w:t>系。目前，公司与</w:t>
      </w:r>
      <w:r>
        <w:rPr>
          <w:rFonts w:hint="eastAsia" w:ascii="宋体" w:hAnsi="宋体" w:eastAsia="宋体" w:cs="宋体"/>
          <w:spacing w:val="-13"/>
          <w:sz w:val="24"/>
          <w:szCs w:val="24"/>
          <w:highlight w:val="none"/>
          <w:lang w:val="en-US" w:eastAsia="zh-CN"/>
        </w:rPr>
        <w:t>业内多家排行前列的企业</w:t>
      </w:r>
      <w:r>
        <w:rPr>
          <w:rFonts w:hint="eastAsia" w:ascii="宋体" w:hAnsi="宋体" w:eastAsia="宋体" w:cs="宋体"/>
          <w:spacing w:val="-10"/>
          <w:sz w:val="24"/>
          <w:szCs w:val="24"/>
          <w:highlight w:val="none"/>
        </w:rPr>
        <w:t>建立了良好的合作关系。</w:t>
      </w:r>
    </w:p>
    <w:p>
      <w:pPr>
        <w:pStyle w:val="15"/>
        <w:numPr>
          <w:ilvl w:val="1"/>
          <w:numId w:val="7"/>
        </w:numPr>
        <w:tabs>
          <w:tab w:val="left" w:pos="540"/>
        </w:tabs>
        <w:spacing w:before="166" w:line="360" w:lineRule="auto"/>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杜绝商业贿赂</w:t>
      </w:r>
    </w:p>
    <w:p>
      <w:pPr>
        <w:pStyle w:val="4"/>
        <w:spacing w:before="189" w:line="360" w:lineRule="auto"/>
        <w:ind w:right="359" w:firstLine="480"/>
        <w:jc w:val="both"/>
        <w:rPr>
          <w:rFonts w:hint="eastAsia" w:ascii="宋体" w:hAnsi="宋体" w:eastAsia="宋体" w:cs="宋体"/>
          <w:sz w:val="24"/>
          <w:szCs w:val="24"/>
          <w:highlight w:val="none"/>
        </w:rPr>
      </w:pPr>
      <w:r>
        <w:rPr>
          <w:rFonts w:hint="eastAsia" w:ascii="宋体" w:hAnsi="宋体" w:eastAsia="宋体" w:cs="宋体"/>
          <w:spacing w:val="-9"/>
          <w:sz w:val="24"/>
          <w:szCs w:val="24"/>
          <w:highlight w:val="none"/>
        </w:rPr>
        <w:t>随着公司的发展，供应商采购管理中的地位显得越来越重要。公司对供应商</w:t>
      </w:r>
      <w:r>
        <w:rPr>
          <w:rFonts w:hint="eastAsia" w:ascii="宋体" w:hAnsi="宋体" w:eastAsia="宋体" w:cs="宋体"/>
          <w:spacing w:val="-10"/>
          <w:sz w:val="24"/>
          <w:szCs w:val="24"/>
          <w:highlight w:val="none"/>
        </w:rPr>
        <w:t>的选择是在</w:t>
      </w:r>
      <w:r>
        <w:rPr>
          <w:rFonts w:hint="eastAsia" w:cs="宋体"/>
          <w:sz w:val="24"/>
          <w:szCs w:val="24"/>
          <w:highlight w:val="none"/>
          <w:lang w:eastAsia="zh-CN"/>
        </w:rPr>
        <w:t>GB/T19001</w:t>
      </w:r>
      <w:r>
        <w:rPr>
          <w:rFonts w:hint="eastAsia" w:ascii="宋体" w:hAnsi="宋体" w:eastAsia="宋体" w:cs="宋体"/>
          <w:spacing w:val="-10"/>
          <w:sz w:val="24"/>
          <w:szCs w:val="24"/>
          <w:highlight w:val="none"/>
        </w:rPr>
        <w:t>、</w:t>
      </w:r>
      <w:r>
        <w:rPr>
          <w:rFonts w:hint="eastAsia" w:cs="宋体"/>
          <w:spacing w:val="-10"/>
          <w:sz w:val="24"/>
          <w:szCs w:val="24"/>
          <w:highlight w:val="none"/>
          <w:lang w:eastAsia="zh-CN"/>
        </w:rPr>
        <w:t>GB/T24001</w:t>
      </w:r>
      <w:r>
        <w:rPr>
          <w:rFonts w:hint="eastAsia" w:ascii="宋体" w:hAnsi="宋体" w:eastAsia="宋体" w:cs="宋体"/>
          <w:spacing w:val="-10"/>
          <w:sz w:val="24"/>
          <w:szCs w:val="24"/>
          <w:highlight w:val="none"/>
          <w:lang w:val="en-US" w:eastAsia="zh-CN"/>
        </w:rPr>
        <w:t>、</w:t>
      </w:r>
      <w:r>
        <w:rPr>
          <w:rFonts w:hint="eastAsia" w:cs="宋体"/>
          <w:spacing w:val="-10"/>
          <w:sz w:val="24"/>
          <w:szCs w:val="24"/>
          <w:highlight w:val="none"/>
          <w:lang w:eastAsia="zh-CN"/>
        </w:rPr>
        <w:t>GB/T45001</w:t>
      </w:r>
      <w:r>
        <w:rPr>
          <w:rFonts w:hint="eastAsia" w:ascii="宋体" w:hAnsi="宋体" w:eastAsia="宋体" w:cs="宋体"/>
          <w:spacing w:val="-10"/>
          <w:sz w:val="24"/>
          <w:szCs w:val="24"/>
          <w:highlight w:val="none"/>
          <w:lang w:val="en-US" w:eastAsia="zh-CN"/>
        </w:rPr>
        <w:t>三</w:t>
      </w:r>
      <w:r>
        <w:rPr>
          <w:rFonts w:hint="eastAsia" w:ascii="宋体" w:hAnsi="宋体" w:eastAsia="宋体" w:cs="宋体"/>
          <w:spacing w:val="-10"/>
          <w:sz w:val="24"/>
          <w:szCs w:val="24"/>
          <w:highlight w:val="none"/>
        </w:rPr>
        <w:t>大体系文件的原则</w:t>
      </w:r>
      <w:r>
        <w:rPr>
          <w:rFonts w:hint="eastAsia" w:ascii="宋体" w:hAnsi="宋体" w:eastAsia="宋体" w:cs="宋体"/>
          <w:spacing w:val="-11"/>
          <w:sz w:val="24"/>
          <w:szCs w:val="24"/>
          <w:highlight w:val="none"/>
        </w:rPr>
        <w:t>下进行的。公</w:t>
      </w:r>
      <w:r>
        <w:rPr>
          <w:rFonts w:hint="eastAsia" w:ascii="宋体" w:hAnsi="宋体" w:eastAsia="宋体" w:cs="宋体"/>
          <w:spacing w:val="-10"/>
          <w:sz w:val="24"/>
          <w:szCs w:val="24"/>
          <w:highlight w:val="none"/>
        </w:rPr>
        <w:t>司固定资产购建、原辅材料采购、</w:t>
      </w:r>
      <w:r>
        <w:rPr>
          <w:rFonts w:hint="eastAsia" w:cs="宋体"/>
          <w:spacing w:val="-10"/>
          <w:sz w:val="24"/>
          <w:szCs w:val="24"/>
          <w:highlight w:val="none"/>
          <w:lang w:val="en-US" w:eastAsia="zh-CN"/>
        </w:rPr>
        <w:t>大宗</w:t>
      </w:r>
      <w:r>
        <w:rPr>
          <w:rFonts w:hint="eastAsia" w:ascii="宋体" w:hAnsi="宋体" w:eastAsia="宋体" w:cs="宋体"/>
          <w:spacing w:val="-10"/>
          <w:sz w:val="24"/>
          <w:szCs w:val="24"/>
          <w:highlight w:val="none"/>
        </w:rPr>
        <w:t>办公用品采购以及闲置资产处置等原则上</w:t>
      </w:r>
      <w:r>
        <w:rPr>
          <w:rFonts w:hint="eastAsia" w:ascii="宋体" w:hAnsi="宋体" w:eastAsia="宋体" w:cs="宋体"/>
          <w:spacing w:val="-7"/>
          <w:sz w:val="24"/>
          <w:szCs w:val="24"/>
          <w:highlight w:val="none"/>
        </w:rPr>
        <w:t>都采用招标方式进行采购。这不仅给供应商搭建一个公平、公开、公正的竞争平</w:t>
      </w:r>
      <w:r>
        <w:rPr>
          <w:rFonts w:hint="eastAsia" w:ascii="宋体" w:hAnsi="宋体" w:eastAsia="宋体" w:cs="宋体"/>
          <w:spacing w:val="-10"/>
          <w:sz w:val="24"/>
          <w:szCs w:val="24"/>
          <w:highlight w:val="none"/>
        </w:rPr>
        <w:t>台，也对供应商的不断推陈出新、优胜劣汰建立了正常渠道，并且能有效杜绝商业贿赂，维护供应商的利益，保证了供应商队伍的健康发展，同时也保证了公司</w:t>
      </w:r>
      <w:r>
        <w:rPr>
          <w:rFonts w:hint="eastAsia" w:ascii="宋体" w:hAnsi="宋体" w:eastAsia="宋体" w:cs="宋体"/>
          <w:sz w:val="24"/>
          <w:szCs w:val="24"/>
          <w:highlight w:val="none"/>
        </w:rPr>
        <w:t>倡导的“阳光采购”工程建设。</w:t>
      </w:r>
      <w:bookmarkStart w:id="18" w:name="九、社会认可"/>
      <w:bookmarkEnd w:id="18"/>
    </w:p>
    <w:p>
      <w:pPr>
        <w:pStyle w:val="3"/>
        <w:spacing w:before="163" w:line="360" w:lineRule="auto"/>
        <w:rPr>
          <w:rFonts w:hint="eastAsia" w:ascii="宋体" w:hAnsi="宋体" w:eastAsia="宋体" w:cs="宋体"/>
          <w:b/>
          <w:bCs/>
          <w:sz w:val="24"/>
          <w:szCs w:val="24"/>
          <w:highlight w:val="none"/>
        </w:rPr>
      </w:pPr>
      <w:bookmarkStart w:id="19" w:name="十、存在问题及改进"/>
      <w:bookmarkEnd w:id="19"/>
      <w:bookmarkStart w:id="20" w:name="_Toc24531713"/>
      <w:r>
        <w:rPr>
          <w:rFonts w:hint="eastAsia" w:ascii="宋体" w:hAnsi="宋体" w:eastAsia="宋体" w:cs="宋体"/>
          <w:b/>
          <w:bCs/>
          <w:sz w:val="24"/>
          <w:szCs w:val="24"/>
          <w:highlight w:val="none"/>
        </w:rPr>
        <w:t>九、存在问题及改进</w:t>
      </w:r>
      <w:bookmarkEnd w:id="20"/>
    </w:p>
    <w:p>
      <w:pPr>
        <w:pStyle w:val="4"/>
        <w:spacing w:before="7" w:line="360" w:lineRule="auto"/>
        <w:ind w:left="0"/>
        <w:rPr>
          <w:rFonts w:hint="eastAsia" w:ascii="宋体" w:hAnsi="宋体" w:eastAsia="宋体" w:cs="宋体"/>
          <w:sz w:val="24"/>
          <w:szCs w:val="24"/>
          <w:highlight w:val="none"/>
        </w:rPr>
      </w:pPr>
    </w:p>
    <w:p>
      <w:pPr>
        <w:pStyle w:val="4"/>
        <w:spacing w:line="360" w:lineRule="auto"/>
        <w:ind w:right="355"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公司在履行社会责任各方面做了大量的工作，但与相关规定仍存在差距。2019年，经济下行压力增大，市场需求低迷，面对中国经济新常态下的发展， 不得不面对</w:t>
      </w:r>
      <w:r>
        <w:rPr>
          <w:rFonts w:hint="eastAsia" w:cs="宋体"/>
          <w:sz w:val="24"/>
          <w:szCs w:val="24"/>
          <w:highlight w:val="none"/>
          <w:lang w:eastAsia="zh-CN"/>
        </w:rPr>
        <w:t>益大</w:t>
      </w:r>
      <w:r>
        <w:rPr>
          <w:rFonts w:hint="eastAsia" w:ascii="宋体" w:hAnsi="宋体" w:eastAsia="宋体" w:cs="宋体"/>
          <w:sz w:val="24"/>
          <w:szCs w:val="24"/>
          <w:highlight w:val="none"/>
        </w:rPr>
        <w:t>转型发展中的不适应：一是规模和效益方面：2019</w:t>
      </w:r>
      <w:r>
        <w:rPr>
          <w:rFonts w:hint="eastAsia" w:ascii="宋体" w:hAnsi="宋体" w:eastAsia="宋体" w:cs="宋体"/>
          <w:spacing w:val="-20"/>
          <w:sz w:val="24"/>
          <w:szCs w:val="24"/>
          <w:highlight w:val="none"/>
        </w:rPr>
        <w:t>年以</w:t>
      </w:r>
      <w:r>
        <w:rPr>
          <w:rFonts w:hint="eastAsia" w:ascii="宋体" w:hAnsi="宋体" w:eastAsia="宋体" w:cs="宋体"/>
          <w:spacing w:val="-22"/>
          <w:sz w:val="24"/>
          <w:szCs w:val="24"/>
          <w:highlight w:val="none"/>
        </w:rPr>
        <w:t>来，公司整体经济效益增长趋势走低，公司经营管理有待进一步完善。</w:t>
      </w:r>
      <w:r>
        <w:rPr>
          <w:rFonts w:hint="eastAsia" w:ascii="宋体" w:hAnsi="宋体" w:eastAsia="宋体" w:cs="宋体"/>
          <w:spacing w:val="-7"/>
          <w:sz w:val="24"/>
          <w:szCs w:val="24"/>
          <w:highlight w:val="none"/>
        </w:rPr>
        <w:t>二是人员结构和薪酬方面：人员结构优化结果与预期还有差距，薪酬结构和薪酬</w:t>
      </w:r>
      <w:r>
        <w:rPr>
          <w:rFonts w:hint="eastAsia" w:ascii="宋体" w:hAnsi="宋体" w:eastAsia="宋体" w:cs="宋体"/>
          <w:sz w:val="24"/>
          <w:szCs w:val="24"/>
          <w:highlight w:val="none"/>
        </w:rPr>
        <w:t>水平与规模和效益不匹配，有待进一步深化改革。</w:t>
      </w:r>
    </w:p>
    <w:p>
      <w:pPr>
        <w:pStyle w:val="4"/>
        <w:spacing w:before="7" w:line="360" w:lineRule="auto"/>
        <w:ind w:right="359" w:firstLine="480"/>
        <w:rPr>
          <w:rFonts w:hint="eastAsia" w:ascii="宋体" w:hAnsi="宋体" w:eastAsia="宋体" w:cs="宋体"/>
          <w:spacing w:val="-11"/>
          <w:sz w:val="24"/>
          <w:szCs w:val="24"/>
          <w:highlight w:val="none"/>
        </w:rPr>
      </w:pPr>
      <w:r>
        <w:rPr>
          <w:rFonts w:hint="eastAsia" w:ascii="宋体" w:hAnsi="宋体" w:eastAsia="宋体" w:cs="宋体"/>
          <w:sz w:val="24"/>
          <w:szCs w:val="24"/>
          <w:highlight w:val="none"/>
        </w:rPr>
        <w:t>未来</w:t>
      </w:r>
      <w:r>
        <w:rPr>
          <w:rFonts w:hint="eastAsia" w:ascii="宋体" w:hAnsi="宋体" w:eastAsia="宋体" w:cs="宋体"/>
          <w:sz w:val="24"/>
          <w:szCs w:val="24"/>
          <w:highlight w:val="none"/>
          <w:lang w:val="en-US" w:eastAsia="zh-CN"/>
        </w:rPr>
        <w:t>五</w:t>
      </w:r>
      <w:r>
        <w:rPr>
          <w:rFonts w:hint="eastAsia" w:ascii="宋体" w:hAnsi="宋体" w:eastAsia="宋体" w:cs="宋体"/>
          <w:sz w:val="24"/>
          <w:szCs w:val="24"/>
          <w:highlight w:val="none"/>
        </w:rPr>
        <w:t>年，</w:t>
      </w:r>
      <w:r>
        <w:rPr>
          <w:rFonts w:hint="eastAsia" w:ascii="宋体" w:hAnsi="宋体" w:eastAsia="宋体" w:cs="宋体"/>
          <w:sz w:val="24"/>
          <w:szCs w:val="24"/>
          <w:highlight w:val="none"/>
          <w:lang w:eastAsia="zh-CN"/>
        </w:rPr>
        <w:t>将</w:t>
      </w:r>
      <w:r>
        <w:rPr>
          <w:rFonts w:hint="eastAsia" w:ascii="宋体" w:hAnsi="宋体" w:eastAsia="宋体" w:cs="宋体"/>
          <w:sz w:val="24"/>
          <w:szCs w:val="24"/>
          <w:highlight w:val="none"/>
        </w:rPr>
        <w:t>是我们</w:t>
      </w:r>
      <w:r>
        <w:rPr>
          <w:rFonts w:hint="eastAsia" w:ascii="宋体" w:hAnsi="宋体" w:eastAsia="宋体" w:cs="宋体"/>
          <w:sz w:val="24"/>
          <w:szCs w:val="24"/>
          <w:highlight w:val="none"/>
          <w:lang w:eastAsia="zh-CN"/>
        </w:rPr>
        <w:t>快速发展的阶段</w:t>
      </w:r>
      <w:r>
        <w:rPr>
          <w:rFonts w:hint="eastAsia" w:ascii="宋体" w:hAnsi="宋体" w:eastAsia="宋体" w:cs="宋体"/>
          <w:sz w:val="24"/>
          <w:szCs w:val="24"/>
          <w:highlight w:val="none"/>
        </w:rPr>
        <w:t>。公司将继续专注于</w:t>
      </w:r>
      <w:r>
        <w:rPr>
          <w:rFonts w:hint="eastAsia" w:cs="宋体"/>
          <w:sz w:val="24"/>
          <w:szCs w:val="24"/>
          <w:highlight w:val="none"/>
          <w:lang w:val="en-US" w:eastAsia="zh-CN"/>
        </w:rPr>
        <w:t>不锈钢管件行业</w:t>
      </w:r>
      <w:r>
        <w:rPr>
          <w:rFonts w:hint="eastAsia" w:ascii="宋体" w:hAnsi="宋体" w:eastAsia="宋体" w:cs="宋体"/>
          <w:spacing w:val="-9"/>
          <w:sz w:val="24"/>
          <w:szCs w:val="24"/>
          <w:highlight w:val="none"/>
        </w:rPr>
        <w:t>的研发、生产和销售业务，瞄准国际前沿技术，坚持以实业经营为根本，以资</w:t>
      </w:r>
      <w:r>
        <w:rPr>
          <w:rFonts w:hint="eastAsia" w:ascii="宋体" w:hAnsi="宋体" w:eastAsia="宋体" w:cs="宋体"/>
          <w:spacing w:val="-10"/>
          <w:sz w:val="24"/>
          <w:szCs w:val="24"/>
          <w:highlight w:val="none"/>
        </w:rPr>
        <w:t>本运作为手段，二者循环促进，推动公司成为</w:t>
      </w:r>
      <w:r>
        <w:rPr>
          <w:rFonts w:hint="eastAsia" w:cs="宋体"/>
          <w:spacing w:val="-10"/>
          <w:sz w:val="24"/>
          <w:szCs w:val="24"/>
          <w:highlight w:val="none"/>
          <w:lang w:val="en-US" w:eastAsia="zh-CN"/>
        </w:rPr>
        <w:t>不锈钢管件行业</w:t>
      </w:r>
      <w:r>
        <w:rPr>
          <w:rFonts w:hint="eastAsia" w:ascii="宋体" w:hAnsi="宋体" w:eastAsia="宋体" w:cs="宋体"/>
          <w:spacing w:val="-10"/>
          <w:sz w:val="24"/>
          <w:szCs w:val="24"/>
          <w:highlight w:val="none"/>
        </w:rPr>
        <w:t>的创新者和</w:t>
      </w:r>
      <w:r>
        <w:rPr>
          <w:rFonts w:hint="eastAsia" w:ascii="宋体" w:hAnsi="宋体" w:eastAsia="宋体" w:cs="宋体"/>
          <w:spacing w:val="-10"/>
          <w:sz w:val="24"/>
          <w:szCs w:val="24"/>
          <w:highlight w:val="none"/>
          <w:lang w:eastAsia="zh-CN"/>
        </w:rPr>
        <w:t>佼佼者</w:t>
      </w:r>
      <w:r>
        <w:rPr>
          <w:rFonts w:hint="eastAsia" w:ascii="宋体" w:hAnsi="宋体" w:eastAsia="宋体" w:cs="宋体"/>
          <w:spacing w:val="-10"/>
          <w:sz w:val="24"/>
          <w:szCs w:val="24"/>
          <w:highlight w:val="none"/>
        </w:rPr>
        <w:t>， 贯彻“</w:t>
      </w:r>
      <w:r>
        <w:rPr>
          <w:rFonts w:hint="eastAsia" w:cs="宋体"/>
          <w:sz w:val="24"/>
          <w:szCs w:val="24"/>
          <w:lang w:eastAsia="zh-CN"/>
        </w:rPr>
        <w:t>一站式数字化管理，可持续高质量发展</w:t>
      </w:r>
      <w:r>
        <w:rPr>
          <w:rFonts w:hint="eastAsia" w:ascii="宋体" w:hAnsi="宋体" w:eastAsia="宋体" w:cs="宋体"/>
          <w:color w:val="000000"/>
          <w:sz w:val="24"/>
          <w:szCs w:val="24"/>
          <w:highlight w:val="none"/>
        </w:rPr>
        <w:t>”的经营理念，</w:t>
      </w:r>
      <w:r>
        <w:rPr>
          <w:rFonts w:hint="eastAsia" w:ascii="宋体" w:hAnsi="宋体" w:eastAsia="宋体" w:cs="宋体"/>
          <w:spacing w:val="-19"/>
          <w:sz w:val="24"/>
          <w:szCs w:val="24"/>
          <w:highlight w:val="none"/>
        </w:rPr>
        <w:t>最终实现 “</w:t>
      </w:r>
      <w:r>
        <w:rPr>
          <w:rFonts w:hint="eastAsia" w:cs="宋体"/>
          <w:sz w:val="24"/>
          <w:szCs w:val="24"/>
          <w:lang w:eastAsia="zh-CN"/>
        </w:rPr>
        <w:t>为客户提供优良的产品和服务</w:t>
      </w:r>
      <w:r>
        <w:rPr>
          <w:rFonts w:hint="eastAsia" w:ascii="宋体" w:hAnsi="宋体" w:eastAsia="宋体" w:cs="宋体"/>
          <w:color w:val="000000"/>
          <w:sz w:val="24"/>
          <w:szCs w:val="24"/>
          <w:highlight w:val="none"/>
        </w:rPr>
        <w:t>”的愿景</w:t>
      </w:r>
      <w:r>
        <w:rPr>
          <w:rFonts w:hint="eastAsia" w:ascii="宋体" w:hAnsi="宋体" w:eastAsia="宋体" w:cs="宋体"/>
          <w:spacing w:val="-19"/>
          <w:sz w:val="24"/>
          <w:szCs w:val="24"/>
          <w:highlight w:val="none"/>
        </w:rPr>
        <w:t>。</w:t>
      </w:r>
    </w:p>
    <w:p>
      <w:pPr>
        <w:pStyle w:val="4"/>
        <w:spacing w:before="7" w:line="360" w:lineRule="auto"/>
        <w:ind w:right="359"/>
        <w:rPr>
          <w:rFonts w:hint="eastAsia" w:ascii="宋体" w:hAnsi="宋体" w:eastAsia="宋体" w:cs="宋体"/>
          <w:b/>
          <w:bCs/>
          <w:spacing w:val="-11"/>
          <w:sz w:val="24"/>
          <w:szCs w:val="24"/>
          <w:highlight w:val="none"/>
        </w:rPr>
      </w:pPr>
      <w:r>
        <w:rPr>
          <w:rFonts w:hint="eastAsia" w:ascii="宋体" w:hAnsi="宋体" w:eastAsia="宋体" w:cs="宋体"/>
          <w:b/>
          <w:bCs/>
          <w:spacing w:val="-11"/>
          <w:sz w:val="24"/>
          <w:szCs w:val="24"/>
          <w:highlight w:val="none"/>
        </w:rPr>
        <w:t>明确了发展战略为：</w:t>
      </w:r>
    </w:p>
    <w:p>
      <w:pPr>
        <w:pStyle w:val="4"/>
        <w:spacing w:before="7" w:line="360" w:lineRule="auto"/>
        <w:ind w:right="359" w:firstLine="480"/>
        <w:rPr>
          <w:rFonts w:hint="eastAsia" w:ascii="宋体" w:hAnsi="宋体" w:eastAsia="宋体" w:cs="宋体"/>
          <w:spacing w:val="-11"/>
          <w:sz w:val="24"/>
          <w:szCs w:val="24"/>
          <w:highlight w:val="none"/>
        </w:rPr>
      </w:pPr>
      <w:r>
        <w:rPr>
          <w:rFonts w:hint="eastAsia" w:ascii="宋体" w:hAnsi="宋体" w:eastAsia="宋体" w:cs="宋体"/>
          <w:spacing w:val="-11"/>
          <w:sz w:val="24"/>
          <w:szCs w:val="24"/>
          <w:highlight w:val="none"/>
        </w:rPr>
        <w:t>通过专业化人才队伍的建设，提高</w:t>
      </w:r>
      <w:r>
        <w:rPr>
          <w:rFonts w:hint="eastAsia" w:cs="宋体"/>
          <w:spacing w:val="-11"/>
          <w:sz w:val="24"/>
          <w:szCs w:val="24"/>
          <w:highlight w:val="none"/>
          <w:lang w:val="en-US" w:eastAsia="zh-CN"/>
        </w:rPr>
        <w:t>不锈钢管件</w:t>
      </w:r>
      <w:r>
        <w:rPr>
          <w:rFonts w:hint="eastAsia" w:ascii="宋体" w:hAnsi="宋体" w:eastAsia="宋体" w:cs="宋体"/>
          <w:spacing w:val="-11"/>
          <w:sz w:val="24"/>
          <w:szCs w:val="24"/>
          <w:highlight w:val="none"/>
          <w:lang w:eastAsia="zh-CN"/>
        </w:rPr>
        <w:t>产品</w:t>
      </w:r>
      <w:r>
        <w:rPr>
          <w:rFonts w:hint="eastAsia" w:ascii="宋体" w:hAnsi="宋体" w:eastAsia="宋体" w:cs="宋体"/>
          <w:spacing w:val="-11"/>
          <w:sz w:val="24"/>
          <w:szCs w:val="24"/>
          <w:highlight w:val="none"/>
        </w:rPr>
        <w:t>的前瞻性设计</w:t>
      </w:r>
      <w:r>
        <w:rPr>
          <w:rFonts w:hint="eastAsia" w:ascii="宋体" w:hAnsi="宋体" w:eastAsia="宋体" w:cs="宋体"/>
          <w:spacing w:val="-11"/>
          <w:sz w:val="24"/>
          <w:szCs w:val="24"/>
          <w:highlight w:val="none"/>
          <w:lang w:eastAsia="zh-CN"/>
        </w:rPr>
        <w:t>与多元化款式以</w:t>
      </w:r>
      <w:r>
        <w:rPr>
          <w:rFonts w:hint="eastAsia" w:ascii="宋体" w:hAnsi="宋体" w:eastAsia="宋体" w:cs="宋体"/>
          <w:spacing w:val="-11"/>
          <w:sz w:val="24"/>
          <w:szCs w:val="24"/>
          <w:highlight w:val="none"/>
        </w:rPr>
        <w:t>满足不同客户对不同类别产品的需求；通过电子商务平台搭建、线上线下多渠道销售布局以提高覆盖率，进而提升企业品牌优势和影响力；通过完善内部管理流程以保证产品品质，进而提升顾客满意度及品牌美誉度。</w:t>
      </w:r>
    </w:p>
    <w:p>
      <w:pPr>
        <w:pStyle w:val="4"/>
        <w:spacing w:before="7" w:line="360" w:lineRule="auto"/>
        <w:ind w:right="359" w:firstLine="480"/>
        <w:rPr>
          <w:rFonts w:hint="eastAsia" w:ascii="宋体" w:hAnsi="宋体" w:eastAsia="宋体" w:cs="宋体"/>
          <w:spacing w:val="-11"/>
          <w:sz w:val="24"/>
          <w:szCs w:val="24"/>
          <w:highlight w:val="none"/>
        </w:rPr>
      </w:pPr>
      <w:r>
        <w:rPr>
          <w:rFonts w:hint="eastAsia" w:ascii="宋体" w:hAnsi="宋体" w:eastAsia="宋体" w:cs="宋体"/>
          <w:spacing w:val="-11"/>
          <w:sz w:val="24"/>
          <w:szCs w:val="24"/>
          <w:highlight w:val="none"/>
        </w:rPr>
        <w:t>利用消费市场增长机会，快速布局国内市场销售渠道，提高产品或服务的能力；利用行业整合机会，加强管理人员建设，完善相关管理制度；针对消费者需求的多样化逐步丰富产品线，增加品牌内涵；强化供应商管理，满足客户对产品或服务的要求。</w:t>
      </w:r>
    </w:p>
    <w:p>
      <w:pPr>
        <w:pStyle w:val="4"/>
        <w:spacing w:before="8" w:line="360" w:lineRule="auto"/>
        <w:ind w:right="360" w:firstLine="480"/>
        <w:jc w:val="both"/>
        <w:rPr>
          <w:rFonts w:hint="eastAsia" w:ascii="宋体" w:hAnsi="宋体" w:eastAsia="宋体" w:cs="宋体"/>
          <w:sz w:val="24"/>
          <w:szCs w:val="24"/>
          <w:highlight w:val="none"/>
        </w:rPr>
      </w:pPr>
      <w:r>
        <w:rPr>
          <w:rFonts w:hint="eastAsia" w:ascii="宋体" w:hAnsi="宋体" w:eastAsia="宋体" w:cs="宋体"/>
          <w:spacing w:val="-10"/>
          <w:sz w:val="24"/>
          <w:szCs w:val="24"/>
          <w:highlight w:val="none"/>
        </w:rPr>
        <w:t>总之，在国家发展规划的引领下、在市政府的大力支持下，通过努力，相信</w:t>
      </w:r>
      <w:r>
        <w:rPr>
          <w:rFonts w:hint="eastAsia" w:cs="宋体"/>
          <w:spacing w:val="-7"/>
          <w:sz w:val="24"/>
          <w:szCs w:val="24"/>
          <w:highlight w:val="none"/>
          <w:lang w:eastAsia="zh-CN"/>
        </w:rPr>
        <w:t>益大</w:t>
      </w:r>
      <w:r>
        <w:rPr>
          <w:rFonts w:hint="eastAsia" w:ascii="宋体" w:hAnsi="宋体" w:eastAsia="宋体" w:cs="宋体"/>
          <w:spacing w:val="-7"/>
          <w:sz w:val="24"/>
          <w:szCs w:val="24"/>
          <w:highlight w:val="none"/>
        </w:rPr>
        <w:t>未来三年规划会顺利实现，为</w:t>
      </w:r>
      <w:r>
        <w:rPr>
          <w:rFonts w:hint="eastAsia" w:ascii="宋体" w:hAnsi="宋体" w:eastAsia="宋体" w:cs="宋体"/>
          <w:spacing w:val="-7"/>
          <w:sz w:val="24"/>
          <w:szCs w:val="24"/>
          <w:highlight w:val="none"/>
          <w:lang w:val="en-US" w:eastAsia="zh-CN"/>
        </w:rPr>
        <w:t>温州</w:t>
      </w:r>
      <w:r>
        <w:rPr>
          <w:rFonts w:hint="eastAsia" w:ascii="宋体" w:hAnsi="宋体" w:eastAsia="宋体" w:cs="宋体"/>
          <w:spacing w:val="-7"/>
          <w:sz w:val="24"/>
          <w:szCs w:val="24"/>
          <w:highlight w:val="none"/>
        </w:rPr>
        <w:t>经济的繁荣发展献上一己之力！最终造</w:t>
      </w:r>
      <w:r>
        <w:rPr>
          <w:rFonts w:hint="eastAsia" w:ascii="宋体" w:hAnsi="宋体" w:eastAsia="宋体" w:cs="宋体"/>
          <w:sz w:val="24"/>
          <w:szCs w:val="24"/>
          <w:highlight w:val="none"/>
        </w:rPr>
        <w:t>福股东、造福员工、造福社会。</w:t>
      </w:r>
      <w:bookmarkStart w:id="21" w:name="_GoBack"/>
      <w:bookmarkEnd w:id="21"/>
    </w:p>
    <w:sectPr>
      <w:pgSz w:w="11910" w:h="16840"/>
      <w:pgMar w:top="1420" w:right="1440" w:bottom="1380" w:left="1680" w:header="877" w:footer="1197"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ind w:left="0"/>
      <w:rPr>
        <w:sz w:val="20"/>
      </w:rPr>
    </w:pPr>
    <w:r>
      <w:pict>
        <v:shape id="_x0000_s2052" o:spid="_x0000_s2052" o:spt="202" type="#_x0000_t202" style="position:absolute;left:0pt;margin-left:291pt;margin-top:771pt;height:11pt;width:13.15pt;mso-position-horizontal-relative:page;mso-position-vertical-relative:page;z-index:-251657216;mso-width-relative:page;mso-height-relative:page;" filled="f" stroked="f" coordsize="21600,21600">
          <v:path/>
          <v:fill on="f" focussize="0,0"/>
          <v:stroke on="f" joinstyle="miter"/>
          <v:imagedata o:title=""/>
          <o:lock v:ext="edit"/>
          <v:textbox inset="0mm,0mm,0mm,0mm">
            <w:txbxContent>
              <w:p>
                <w:pPr>
                  <w:spacing w:line="203" w:lineRule="exact"/>
                  <w:ind w:left="40"/>
                  <w:rPr>
                    <w:rFonts w:ascii="Calibri"/>
                    <w:sz w:val="18"/>
                  </w:rPr>
                </w:pPr>
                <w:r>
                  <w:fldChar w:fldCharType="begin"/>
                </w:r>
                <w:r>
                  <w:rPr>
                    <w:rFonts w:ascii="Calibri"/>
                    <w:sz w:val="18"/>
                  </w:rPr>
                  <w:instrText xml:space="preserve"> PAGE </w:instrText>
                </w:r>
                <w:r>
                  <w:fldChar w:fldCharType="separate"/>
                </w:r>
                <w:r>
                  <w:rPr>
                    <w:rFonts w:ascii="Calibri"/>
                    <w:sz w:val="18"/>
                  </w:rPr>
                  <w:t>8</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5E306ED"/>
    <w:multiLevelType w:val="multilevel"/>
    <w:tmpl w:val="B5E306ED"/>
    <w:lvl w:ilvl="0" w:tentative="0">
      <w:start w:val="6"/>
      <w:numFmt w:val="decimal"/>
      <w:lvlText w:val="%1"/>
      <w:lvlJc w:val="left"/>
      <w:pPr>
        <w:ind w:left="540" w:hanging="420"/>
      </w:pPr>
      <w:rPr>
        <w:rFonts w:hint="default"/>
        <w:lang w:val="zh-CN" w:eastAsia="zh-CN" w:bidi="zh-CN"/>
      </w:rPr>
    </w:lvl>
    <w:lvl w:ilvl="1" w:tentative="0">
      <w:start w:val="1"/>
      <w:numFmt w:val="decimal"/>
      <w:lvlText w:val="%1.%2"/>
      <w:lvlJc w:val="left"/>
      <w:pPr>
        <w:ind w:left="540" w:hanging="420"/>
      </w:pPr>
      <w:rPr>
        <w:rFonts w:hint="default" w:ascii="宋体" w:hAnsi="宋体" w:eastAsia="宋体" w:cs="宋体"/>
        <w:w w:val="100"/>
        <w:sz w:val="24"/>
        <w:szCs w:val="24"/>
        <w:lang w:val="zh-CN" w:eastAsia="zh-CN" w:bidi="zh-CN"/>
      </w:rPr>
    </w:lvl>
    <w:lvl w:ilvl="2" w:tentative="0">
      <w:start w:val="0"/>
      <w:numFmt w:val="bullet"/>
      <w:lvlText w:val="•"/>
      <w:lvlJc w:val="left"/>
      <w:pPr>
        <w:ind w:left="2189" w:hanging="420"/>
      </w:pPr>
      <w:rPr>
        <w:rFonts w:hint="default"/>
        <w:lang w:val="zh-CN" w:eastAsia="zh-CN" w:bidi="zh-CN"/>
      </w:rPr>
    </w:lvl>
    <w:lvl w:ilvl="3" w:tentative="0">
      <w:start w:val="0"/>
      <w:numFmt w:val="bullet"/>
      <w:lvlText w:val="•"/>
      <w:lvlJc w:val="left"/>
      <w:pPr>
        <w:ind w:left="3013" w:hanging="420"/>
      </w:pPr>
      <w:rPr>
        <w:rFonts w:hint="default"/>
        <w:lang w:val="zh-CN" w:eastAsia="zh-CN" w:bidi="zh-CN"/>
      </w:rPr>
    </w:lvl>
    <w:lvl w:ilvl="4" w:tentative="0">
      <w:start w:val="0"/>
      <w:numFmt w:val="bullet"/>
      <w:lvlText w:val="•"/>
      <w:lvlJc w:val="left"/>
      <w:pPr>
        <w:ind w:left="3838" w:hanging="420"/>
      </w:pPr>
      <w:rPr>
        <w:rFonts w:hint="default"/>
        <w:lang w:val="zh-CN" w:eastAsia="zh-CN" w:bidi="zh-CN"/>
      </w:rPr>
    </w:lvl>
    <w:lvl w:ilvl="5" w:tentative="0">
      <w:start w:val="0"/>
      <w:numFmt w:val="bullet"/>
      <w:lvlText w:val="•"/>
      <w:lvlJc w:val="left"/>
      <w:pPr>
        <w:ind w:left="4663" w:hanging="420"/>
      </w:pPr>
      <w:rPr>
        <w:rFonts w:hint="default"/>
        <w:lang w:val="zh-CN" w:eastAsia="zh-CN" w:bidi="zh-CN"/>
      </w:rPr>
    </w:lvl>
    <w:lvl w:ilvl="6" w:tentative="0">
      <w:start w:val="0"/>
      <w:numFmt w:val="bullet"/>
      <w:lvlText w:val="•"/>
      <w:lvlJc w:val="left"/>
      <w:pPr>
        <w:ind w:left="5487" w:hanging="420"/>
      </w:pPr>
      <w:rPr>
        <w:rFonts w:hint="default"/>
        <w:lang w:val="zh-CN" w:eastAsia="zh-CN" w:bidi="zh-CN"/>
      </w:rPr>
    </w:lvl>
    <w:lvl w:ilvl="7" w:tentative="0">
      <w:start w:val="0"/>
      <w:numFmt w:val="bullet"/>
      <w:lvlText w:val="•"/>
      <w:lvlJc w:val="left"/>
      <w:pPr>
        <w:ind w:left="6312" w:hanging="420"/>
      </w:pPr>
      <w:rPr>
        <w:rFonts w:hint="default"/>
        <w:lang w:val="zh-CN" w:eastAsia="zh-CN" w:bidi="zh-CN"/>
      </w:rPr>
    </w:lvl>
    <w:lvl w:ilvl="8" w:tentative="0">
      <w:start w:val="0"/>
      <w:numFmt w:val="bullet"/>
      <w:lvlText w:val="•"/>
      <w:lvlJc w:val="left"/>
      <w:pPr>
        <w:ind w:left="7137" w:hanging="420"/>
      </w:pPr>
      <w:rPr>
        <w:rFonts w:hint="default"/>
        <w:lang w:val="zh-CN" w:eastAsia="zh-CN" w:bidi="zh-CN"/>
      </w:rPr>
    </w:lvl>
  </w:abstractNum>
  <w:abstractNum w:abstractNumId="1">
    <w:nsid w:val="BF205925"/>
    <w:multiLevelType w:val="multilevel"/>
    <w:tmpl w:val="BF205925"/>
    <w:lvl w:ilvl="0" w:tentative="0">
      <w:start w:val="4"/>
      <w:numFmt w:val="decimal"/>
      <w:lvlText w:val="%1"/>
      <w:lvlJc w:val="left"/>
      <w:pPr>
        <w:ind w:left="600" w:hanging="480"/>
      </w:pPr>
      <w:rPr>
        <w:rFonts w:hint="default"/>
        <w:lang w:val="zh-CN" w:eastAsia="zh-CN" w:bidi="zh-CN"/>
      </w:rPr>
    </w:lvl>
    <w:lvl w:ilvl="1" w:tentative="0">
      <w:start w:val="1"/>
      <w:numFmt w:val="decimal"/>
      <w:lvlText w:val="%1.%2"/>
      <w:lvlJc w:val="left"/>
      <w:pPr>
        <w:ind w:left="600" w:hanging="480"/>
      </w:pPr>
      <w:rPr>
        <w:rFonts w:hint="default" w:ascii="宋体" w:hAnsi="宋体" w:eastAsia="宋体" w:cs="宋体"/>
        <w:w w:val="100"/>
        <w:sz w:val="24"/>
        <w:szCs w:val="24"/>
        <w:lang w:val="zh-CN" w:eastAsia="zh-CN" w:bidi="zh-CN"/>
      </w:rPr>
    </w:lvl>
    <w:lvl w:ilvl="2" w:tentative="0">
      <w:start w:val="0"/>
      <w:numFmt w:val="bullet"/>
      <w:lvlText w:val="•"/>
      <w:lvlJc w:val="left"/>
      <w:pPr>
        <w:ind w:left="2237" w:hanging="480"/>
      </w:pPr>
      <w:rPr>
        <w:rFonts w:hint="default"/>
        <w:lang w:val="zh-CN" w:eastAsia="zh-CN" w:bidi="zh-CN"/>
      </w:rPr>
    </w:lvl>
    <w:lvl w:ilvl="3" w:tentative="0">
      <w:start w:val="0"/>
      <w:numFmt w:val="bullet"/>
      <w:lvlText w:val="•"/>
      <w:lvlJc w:val="left"/>
      <w:pPr>
        <w:ind w:left="3055" w:hanging="480"/>
      </w:pPr>
      <w:rPr>
        <w:rFonts w:hint="default"/>
        <w:lang w:val="zh-CN" w:eastAsia="zh-CN" w:bidi="zh-CN"/>
      </w:rPr>
    </w:lvl>
    <w:lvl w:ilvl="4" w:tentative="0">
      <w:start w:val="0"/>
      <w:numFmt w:val="bullet"/>
      <w:lvlText w:val="•"/>
      <w:lvlJc w:val="left"/>
      <w:pPr>
        <w:ind w:left="3874" w:hanging="480"/>
      </w:pPr>
      <w:rPr>
        <w:rFonts w:hint="default"/>
        <w:lang w:val="zh-CN" w:eastAsia="zh-CN" w:bidi="zh-CN"/>
      </w:rPr>
    </w:lvl>
    <w:lvl w:ilvl="5" w:tentative="0">
      <w:start w:val="0"/>
      <w:numFmt w:val="bullet"/>
      <w:lvlText w:val="•"/>
      <w:lvlJc w:val="left"/>
      <w:pPr>
        <w:ind w:left="4693" w:hanging="480"/>
      </w:pPr>
      <w:rPr>
        <w:rFonts w:hint="default"/>
        <w:lang w:val="zh-CN" w:eastAsia="zh-CN" w:bidi="zh-CN"/>
      </w:rPr>
    </w:lvl>
    <w:lvl w:ilvl="6" w:tentative="0">
      <w:start w:val="0"/>
      <w:numFmt w:val="bullet"/>
      <w:lvlText w:val="•"/>
      <w:lvlJc w:val="left"/>
      <w:pPr>
        <w:ind w:left="5511" w:hanging="480"/>
      </w:pPr>
      <w:rPr>
        <w:rFonts w:hint="default"/>
        <w:lang w:val="zh-CN" w:eastAsia="zh-CN" w:bidi="zh-CN"/>
      </w:rPr>
    </w:lvl>
    <w:lvl w:ilvl="7" w:tentative="0">
      <w:start w:val="0"/>
      <w:numFmt w:val="bullet"/>
      <w:lvlText w:val="•"/>
      <w:lvlJc w:val="left"/>
      <w:pPr>
        <w:ind w:left="6330" w:hanging="480"/>
      </w:pPr>
      <w:rPr>
        <w:rFonts w:hint="default"/>
        <w:lang w:val="zh-CN" w:eastAsia="zh-CN" w:bidi="zh-CN"/>
      </w:rPr>
    </w:lvl>
    <w:lvl w:ilvl="8" w:tentative="0">
      <w:start w:val="0"/>
      <w:numFmt w:val="bullet"/>
      <w:lvlText w:val="•"/>
      <w:lvlJc w:val="left"/>
      <w:pPr>
        <w:ind w:left="7149" w:hanging="480"/>
      </w:pPr>
      <w:rPr>
        <w:rFonts w:hint="default"/>
        <w:lang w:val="zh-CN" w:eastAsia="zh-CN" w:bidi="zh-CN"/>
      </w:rPr>
    </w:lvl>
  </w:abstractNum>
  <w:abstractNum w:abstractNumId="2">
    <w:nsid w:val="CF092B84"/>
    <w:multiLevelType w:val="multilevel"/>
    <w:tmpl w:val="CF092B84"/>
    <w:lvl w:ilvl="0" w:tentative="0">
      <w:start w:val="1"/>
      <w:numFmt w:val="decimal"/>
      <w:lvlText w:val="%1"/>
      <w:lvlJc w:val="left"/>
      <w:pPr>
        <w:ind w:left="600" w:hanging="480"/>
      </w:pPr>
      <w:rPr>
        <w:rFonts w:hint="default"/>
        <w:lang w:val="zh-CN" w:eastAsia="zh-CN" w:bidi="zh-CN"/>
      </w:rPr>
    </w:lvl>
    <w:lvl w:ilvl="1" w:tentative="0">
      <w:start w:val="1"/>
      <w:numFmt w:val="decimal"/>
      <w:lvlText w:val="%1.%2"/>
      <w:lvlJc w:val="left"/>
      <w:pPr>
        <w:ind w:left="600" w:hanging="480"/>
      </w:pPr>
      <w:rPr>
        <w:rFonts w:hint="default" w:ascii="宋体" w:hAnsi="宋体" w:eastAsia="宋体" w:cs="宋体"/>
        <w:w w:val="100"/>
        <w:sz w:val="24"/>
        <w:szCs w:val="24"/>
        <w:lang w:val="zh-CN" w:eastAsia="zh-CN" w:bidi="zh-CN"/>
      </w:rPr>
    </w:lvl>
    <w:lvl w:ilvl="2" w:tentative="0">
      <w:start w:val="0"/>
      <w:numFmt w:val="bullet"/>
      <w:lvlText w:val="•"/>
      <w:lvlJc w:val="left"/>
      <w:pPr>
        <w:ind w:left="2237" w:hanging="480"/>
      </w:pPr>
      <w:rPr>
        <w:rFonts w:hint="default"/>
        <w:lang w:val="zh-CN" w:eastAsia="zh-CN" w:bidi="zh-CN"/>
      </w:rPr>
    </w:lvl>
    <w:lvl w:ilvl="3" w:tentative="0">
      <w:start w:val="0"/>
      <w:numFmt w:val="bullet"/>
      <w:lvlText w:val="•"/>
      <w:lvlJc w:val="left"/>
      <w:pPr>
        <w:ind w:left="3055" w:hanging="480"/>
      </w:pPr>
      <w:rPr>
        <w:rFonts w:hint="default"/>
        <w:lang w:val="zh-CN" w:eastAsia="zh-CN" w:bidi="zh-CN"/>
      </w:rPr>
    </w:lvl>
    <w:lvl w:ilvl="4" w:tentative="0">
      <w:start w:val="0"/>
      <w:numFmt w:val="bullet"/>
      <w:lvlText w:val="•"/>
      <w:lvlJc w:val="left"/>
      <w:pPr>
        <w:ind w:left="3874" w:hanging="480"/>
      </w:pPr>
      <w:rPr>
        <w:rFonts w:hint="default"/>
        <w:lang w:val="zh-CN" w:eastAsia="zh-CN" w:bidi="zh-CN"/>
      </w:rPr>
    </w:lvl>
    <w:lvl w:ilvl="5" w:tentative="0">
      <w:start w:val="0"/>
      <w:numFmt w:val="bullet"/>
      <w:lvlText w:val="•"/>
      <w:lvlJc w:val="left"/>
      <w:pPr>
        <w:ind w:left="4693" w:hanging="480"/>
      </w:pPr>
      <w:rPr>
        <w:rFonts w:hint="default"/>
        <w:lang w:val="zh-CN" w:eastAsia="zh-CN" w:bidi="zh-CN"/>
      </w:rPr>
    </w:lvl>
    <w:lvl w:ilvl="6" w:tentative="0">
      <w:start w:val="0"/>
      <w:numFmt w:val="bullet"/>
      <w:lvlText w:val="•"/>
      <w:lvlJc w:val="left"/>
      <w:pPr>
        <w:ind w:left="5511" w:hanging="480"/>
      </w:pPr>
      <w:rPr>
        <w:rFonts w:hint="default"/>
        <w:lang w:val="zh-CN" w:eastAsia="zh-CN" w:bidi="zh-CN"/>
      </w:rPr>
    </w:lvl>
    <w:lvl w:ilvl="7" w:tentative="0">
      <w:start w:val="0"/>
      <w:numFmt w:val="bullet"/>
      <w:lvlText w:val="•"/>
      <w:lvlJc w:val="left"/>
      <w:pPr>
        <w:ind w:left="6330" w:hanging="480"/>
      </w:pPr>
      <w:rPr>
        <w:rFonts w:hint="default"/>
        <w:lang w:val="zh-CN" w:eastAsia="zh-CN" w:bidi="zh-CN"/>
      </w:rPr>
    </w:lvl>
    <w:lvl w:ilvl="8" w:tentative="0">
      <w:start w:val="0"/>
      <w:numFmt w:val="bullet"/>
      <w:lvlText w:val="•"/>
      <w:lvlJc w:val="left"/>
      <w:pPr>
        <w:ind w:left="7149" w:hanging="480"/>
      </w:pPr>
      <w:rPr>
        <w:rFonts w:hint="default"/>
        <w:lang w:val="zh-CN" w:eastAsia="zh-CN" w:bidi="zh-CN"/>
      </w:rPr>
    </w:lvl>
  </w:abstractNum>
  <w:abstractNum w:abstractNumId="3">
    <w:nsid w:val="E86C854B"/>
    <w:multiLevelType w:val="singleLevel"/>
    <w:tmpl w:val="E86C854B"/>
    <w:lvl w:ilvl="0" w:tentative="0">
      <w:start w:val="2"/>
      <w:numFmt w:val="chineseCounting"/>
      <w:suff w:val="nothing"/>
      <w:lvlText w:val="%1、"/>
      <w:lvlJc w:val="left"/>
      <w:rPr>
        <w:rFonts w:hint="eastAsia"/>
      </w:rPr>
    </w:lvl>
  </w:abstractNum>
  <w:abstractNum w:abstractNumId="4">
    <w:nsid w:val="0053208E"/>
    <w:multiLevelType w:val="multilevel"/>
    <w:tmpl w:val="0053208E"/>
    <w:lvl w:ilvl="0" w:tentative="0">
      <w:start w:val="1"/>
      <w:numFmt w:val="decimal"/>
      <w:lvlText w:val="%1."/>
      <w:lvlJc w:val="left"/>
      <w:pPr>
        <w:ind w:left="480" w:hanging="360"/>
      </w:pPr>
      <w:rPr>
        <w:rFonts w:hint="default" w:ascii="宋体" w:hAnsi="宋体" w:eastAsia="宋体" w:cs="宋体"/>
        <w:w w:val="100"/>
        <w:sz w:val="24"/>
        <w:szCs w:val="24"/>
        <w:lang w:val="zh-CN" w:eastAsia="zh-CN" w:bidi="zh-CN"/>
      </w:rPr>
    </w:lvl>
    <w:lvl w:ilvl="1" w:tentative="0">
      <w:start w:val="0"/>
      <w:numFmt w:val="bullet"/>
      <w:lvlText w:val="•"/>
      <w:lvlJc w:val="left"/>
      <w:pPr>
        <w:ind w:left="1310" w:hanging="360"/>
      </w:pPr>
      <w:rPr>
        <w:rFonts w:hint="default"/>
        <w:lang w:val="zh-CN" w:eastAsia="zh-CN" w:bidi="zh-CN"/>
      </w:rPr>
    </w:lvl>
    <w:lvl w:ilvl="2" w:tentative="0">
      <w:start w:val="0"/>
      <w:numFmt w:val="bullet"/>
      <w:lvlText w:val="•"/>
      <w:lvlJc w:val="left"/>
      <w:pPr>
        <w:ind w:left="2141" w:hanging="360"/>
      </w:pPr>
      <w:rPr>
        <w:rFonts w:hint="default"/>
        <w:lang w:val="zh-CN" w:eastAsia="zh-CN" w:bidi="zh-CN"/>
      </w:rPr>
    </w:lvl>
    <w:lvl w:ilvl="3" w:tentative="0">
      <w:start w:val="0"/>
      <w:numFmt w:val="bullet"/>
      <w:lvlText w:val="•"/>
      <w:lvlJc w:val="left"/>
      <w:pPr>
        <w:ind w:left="2971" w:hanging="360"/>
      </w:pPr>
      <w:rPr>
        <w:rFonts w:hint="default"/>
        <w:lang w:val="zh-CN" w:eastAsia="zh-CN" w:bidi="zh-CN"/>
      </w:rPr>
    </w:lvl>
    <w:lvl w:ilvl="4" w:tentative="0">
      <w:start w:val="0"/>
      <w:numFmt w:val="bullet"/>
      <w:lvlText w:val="•"/>
      <w:lvlJc w:val="left"/>
      <w:pPr>
        <w:ind w:left="3802" w:hanging="360"/>
      </w:pPr>
      <w:rPr>
        <w:rFonts w:hint="default"/>
        <w:lang w:val="zh-CN" w:eastAsia="zh-CN" w:bidi="zh-CN"/>
      </w:rPr>
    </w:lvl>
    <w:lvl w:ilvl="5" w:tentative="0">
      <w:start w:val="0"/>
      <w:numFmt w:val="bullet"/>
      <w:lvlText w:val="•"/>
      <w:lvlJc w:val="left"/>
      <w:pPr>
        <w:ind w:left="4633" w:hanging="360"/>
      </w:pPr>
      <w:rPr>
        <w:rFonts w:hint="default"/>
        <w:lang w:val="zh-CN" w:eastAsia="zh-CN" w:bidi="zh-CN"/>
      </w:rPr>
    </w:lvl>
    <w:lvl w:ilvl="6" w:tentative="0">
      <w:start w:val="0"/>
      <w:numFmt w:val="bullet"/>
      <w:lvlText w:val="•"/>
      <w:lvlJc w:val="left"/>
      <w:pPr>
        <w:ind w:left="5463" w:hanging="360"/>
      </w:pPr>
      <w:rPr>
        <w:rFonts w:hint="default"/>
        <w:lang w:val="zh-CN" w:eastAsia="zh-CN" w:bidi="zh-CN"/>
      </w:rPr>
    </w:lvl>
    <w:lvl w:ilvl="7" w:tentative="0">
      <w:start w:val="0"/>
      <w:numFmt w:val="bullet"/>
      <w:lvlText w:val="•"/>
      <w:lvlJc w:val="left"/>
      <w:pPr>
        <w:ind w:left="6294" w:hanging="360"/>
      </w:pPr>
      <w:rPr>
        <w:rFonts w:hint="default"/>
        <w:lang w:val="zh-CN" w:eastAsia="zh-CN" w:bidi="zh-CN"/>
      </w:rPr>
    </w:lvl>
    <w:lvl w:ilvl="8" w:tentative="0">
      <w:start w:val="0"/>
      <w:numFmt w:val="bullet"/>
      <w:lvlText w:val="•"/>
      <w:lvlJc w:val="left"/>
      <w:pPr>
        <w:ind w:left="7125" w:hanging="360"/>
      </w:pPr>
      <w:rPr>
        <w:rFonts w:hint="default"/>
        <w:lang w:val="zh-CN" w:eastAsia="zh-CN" w:bidi="zh-CN"/>
      </w:rPr>
    </w:lvl>
  </w:abstractNum>
  <w:abstractNum w:abstractNumId="5">
    <w:nsid w:val="25B654F3"/>
    <w:multiLevelType w:val="multilevel"/>
    <w:tmpl w:val="25B654F3"/>
    <w:lvl w:ilvl="0" w:tentative="0">
      <w:start w:val="8"/>
      <w:numFmt w:val="decimal"/>
      <w:lvlText w:val="%1"/>
      <w:lvlJc w:val="left"/>
      <w:pPr>
        <w:ind w:left="540" w:hanging="420"/>
      </w:pPr>
      <w:rPr>
        <w:rFonts w:hint="default"/>
        <w:lang w:val="zh-CN" w:eastAsia="zh-CN" w:bidi="zh-CN"/>
      </w:rPr>
    </w:lvl>
    <w:lvl w:ilvl="1" w:tentative="0">
      <w:start w:val="1"/>
      <w:numFmt w:val="decimal"/>
      <w:lvlText w:val="%1.%2"/>
      <w:lvlJc w:val="left"/>
      <w:pPr>
        <w:ind w:left="540" w:hanging="420"/>
      </w:pPr>
      <w:rPr>
        <w:rFonts w:hint="default" w:ascii="宋体" w:hAnsi="宋体" w:eastAsia="宋体" w:cs="宋体"/>
        <w:w w:val="100"/>
        <w:sz w:val="24"/>
        <w:szCs w:val="24"/>
        <w:lang w:val="zh-CN" w:eastAsia="zh-CN" w:bidi="zh-CN"/>
      </w:rPr>
    </w:lvl>
    <w:lvl w:ilvl="2" w:tentative="0">
      <w:start w:val="0"/>
      <w:numFmt w:val="bullet"/>
      <w:lvlText w:val="•"/>
      <w:lvlJc w:val="left"/>
      <w:pPr>
        <w:ind w:left="2189" w:hanging="420"/>
      </w:pPr>
      <w:rPr>
        <w:rFonts w:hint="default"/>
        <w:lang w:val="zh-CN" w:eastAsia="zh-CN" w:bidi="zh-CN"/>
      </w:rPr>
    </w:lvl>
    <w:lvl w:ilvl="3" w:tentative="0">
      <w:start w:val="0"/>
      <w:numFmt w:val="bullet"/>
      <w:lvlText w:val="•"/>
      <w:lvlJc w:val="left"/>
      <w:pPr>
        <w:ind w:left="3013" w:hanging="420"/>
      </w:pPr>
      <w:rPr>
        <w:rFonts w:hint="default"/>
        <w:lang w:val="zh-CN" w:eastAsia="zh-CN" w:bidi="zh-CN"/>
      </w:rPr>
    </w:lvl>
    <w:lvl w:ilvl="4" w:tentative="0">
      <w:start w:val="0"/>
      <w:numFmt w:val="bullet"/>
      <w:lvlText w:val="•"/>
      <w:lvlJc w:val="left"/>
      <w:pPr>
        <w:ind w:left="3838" w:hanging="420"/>
      </w:pPr>
      <w:rPr>
        <w:rFonts w:hint="default"/>
        <w:lang w:val="zh-CN" w:eastAsia="zh-CN" w:bidi="zh-CN"/>
      </w:rPr>
    </w:lvl>
    <w:lvl w:ilvl="5" w:tentative="0">
      <w:start w:val="0"/>
      <w:numFmt w:val="bullet"/>
      <w:lvlText w:val="•"/>
      <w:lvlJc w:val="left"/>
      <w:pPr>
        <w:ind w:left="4663" w:hanging="420"/>
      </w:pPr>
      <w:rPr>
        <w:rFonts w:hint="default"/>
        <w:lang w:val="zh-CN" w:eastAsia="zh-CN" w:bidi="zh-CN"/>
      </w:rPr>
    </w:lvl>
    <w:lvl w:ilvl="6" w:tentative="0">
      <w:start w:val="0"/>
      <w:numFmt w:val="bullet"/>
      <w:lvlText w:val="•"/>
      <w:lvlJc w:val="left"/>
      <w:pPr>
        <w:ind w:left="5487" w:hanging="420"/>
      </w:pPr>
      <w:rPr>
        <w:rFonts w:hint="default"/>
        <w:lang w:val="zh-CN" w:eastAsia="zh-CN" w:bidi="zh-CN"/>
      </w:rPr>
    </w:lvl>
    <w:lvl w:ilvl="7" w:tentative="0">
      <w:start w:val="0"/>
      <w:numFmt w:val="bullet"/>
      <w:lvlText w:val="•"/>
      <w:lvlJc w:val="left"/>
      <w:pPr>
        <w:ind w:left="6312" w:hanging="420"/>
      </w:pPr>
      <w:rPr>
        <w:rFonts w:hint="default"/>
        <w:lang w:val="zh-CN" w:eastAsia="zh-CN" w:bidi="zh-CN"/>
      </w:rPr>
    </w:lvl>
    <w:lvl w:ilvl="8" w:tentative="0">
      <w:start w:val="0"/>
      <w:numFmt w:val="bullet"/>
      <w:lvlText w:val="•"/>
      <w:lvlJc w:val="left"/>
      <w:pPr>
        <w:ind w:left="7137" w:hanging="420"/>
      </w:pPr>
      <w:rPr>
        <w:rFonts w:hint="default"/>
        <w:lang w:val="zh-CN" w:eastAsia="zh-CN" w:bidi="zh-CN"/>
      </w:rPr>
    </w:lvl>
  </w:abstractNum>
  <w:abstractNum w:abstractNumId="6">
    <w:nsid w:val="68E678B6"/>
    <w:multiLevelType w:val="singleLevel"/>
    <w:tmpl w:val="68E678B6"/>
    <w:lvl w:ilvl="0" w:tentative="0">
      <w:start w:val="7"/>
      <w:numFmt w:val="chineseCounting"/>
      <w:suff w:val="nothing"/>
      <w:lvlText w:val="%1、"/>
      <w:lvlJc w:val="left"/>
      <w:rPr>
        <w:rFonts w:hint="eastAsia"/>
      </w:rPr>
    </w:lvl>
  </w:abstractNum>
  <w:num w:numId="1">
    <w:abstractNumId w:val="4"/>
  </w:num>
  <w:num w:numId="2">
    <w:abstractNumId w:val="2"/>
  </w:num>
  <w:num w:numId="3">
    <w:abstractNumId w:val="3"/>
  </w:num>
  <w:num w:numId="4">
    <w:abstractNumId w:val="1"/>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hdrShapeDefaults>
    <o:shapelayout v:ext="edit">
      <o:idmap v:ext="edit" data="2"/>
    </o:shapelayout>
  </w:hdrShapeDefaults>
  <w:compat>
    <w:ulTrailSpace/>
    <w:doNotExpandShiftReturn/>
    <w:doNotWrapTextWithPunct/>
    <w:doNotUseEastAsianBreakRules/>
    <w:useFELayout/>
    <w:doNotUseIndentAsNumberingTabStop/>
    <w:compatSetting w:name="compatibilityMode" w:uri="http://schemas.microsoft.com/office/word" w:val="12"/>
  </w:compat>
  <w:rsids>
    <w:rsidRoot w:val="00290920"/>
    <w:rsid w:val="000278DC"/>
    <w:rsid w:val="00032473"/>
    <w:rsid w:val="000414FB"/>
    <w:rsid w:val="000579A5"/>
    <w:rsid w:val="00066EC5"/>
    <w:rsid w:val="000B3563"/>
    <w:rsid w:val="000D004B"/>
    <w:rsid w:val="001175B4"/>
    <w:rsid w:val="001C1FC1"/>
    <w:rsid w:val="001C39F4"/>
    <w:rsid w:val="001E006E"/>
    <w:rsid w:val="001E1AAD"/>
    <w:rsid w:val="00244132"/>
    <w:rsid w:val="0026017D"/>
    <w:rsid w:val="00263C88"/>
    <w:rsid w:val="002704DC"/>
    <w:rsid w:val="002903F9"/>
    <w:rsid w:val="00290920"/>
    <w:rsid w:val="002B5CB5"/>
    <w:rsid w:val="002E145C"/>
    <w:rsid w:val="002E4DCC"/>
    <w:rsid w:val="0030225B"/>
    <w:rsid w:val="0033239A"/>
    <w:rsid w:val="00333CDD"/>
    <w:rsid w:val="00345FF0"/>
    <w:rsid w:val="0036038A"/>
    <w:rsid w:val="00376968"/>
    <w:rsid w:val="0037720E"/>
    <w:rsid w:val="003A0DB5"/>
    <w:rsid w:val="003D04CD"/>
    <w:rsid w:val="003F6CFA"/>
    <w:rsid w:val="00405E2E"/>
    <w:rsid w:val="00436F89"/>
    <w:rsid w:val="00440CA5"/>
    <w:rsid w:val="00467DCB"/>
    <w:rsid w:val="004900E6"/>
    <w:rsid w:val="004A161E"/>
    <w:rsid w:val="004D63C4"/>
    <w:rsid w:val="004F1C97"/>
    <w:rsid w:val="004F1D71"/>
    <w:rsid w:val="005046FD"/>
    <w:rsid w:val="005B134C"/>
    <w:rsid w:val="005C44A5"/>
    <w:rsid w:val="005E0325"/>
    <w:rsid w:val="005F0CD7"/>
    <w:rsid w:val="006511E0"/>
    <w:rsid w:val="00687D11"/>
    <w:rsid w:val="006C39B4"/>
    <w:rsid w:val="006C4684"/>
    <w:rsid w:val="006E5587"/>
    <w:rsid w:val="007103E9"/>
    <w:rsid w:val="007166B4"/>
    <w:rsid w:val="00724FE4"/>
    <w:rsid w:val="00766F3F"/>
    <w:rsid w:val="00774550"/>
    <w:rsid w:val="007816F0"/>
    <w:rsid w:val="007B7DB6"/>
    <w:rsid w:val="007C6B63"/>
    <w:rsid w:val="007E5EB5"/>
    <w:rsid w:val="00825F7C"/>
    <w:rsid w:val="00866AFB"/>
    <w:rsid w:val="008904FE"/>
    <w:rsid w:val="008C6E32"/>
    <w:rsid w:val="008F71D5"/>
    <w:rsid w:val="009033D2"/>
    <w:rsid w:val="009364BF"/>
    <w:rsid w:val="00963BF3"/>
    <w:rsid w:val="009C1E21"/>
    <w:rsid w:val="009C7DA2"/>
    <w:rsid w:val="009F692A"/>
    <w:rsid w:val="00A46435"/>
    <w:rsid w:val="00AB12C6"/>
    <w:rsid w:val="00AD3415"/>
    <w:rsid w:val="00B04DFD"/>
    <w:rsid w:val="00B10FBE"/>
    <w:rsid w:val="00B40D99"/>
    <w:rsid w:val="00B50488"/>
    <w:rsid w:val="00B82100"/>
    <w:rsid w:val="00BD1A31"/>
    <w:rsid w:val="00BE263E"/>
    <w:rsid w:val="00BF0315"/>
    <w:rsid w:val="00C53042"/>
    <w:rsid w:val="00C7250B"/>
    <w:rsid w:val="00CB539F"/>
    <w:rsid w:val="00CC5725"/>
    <w:rsid w:val="00D10E9E"/>
    <w:rsid w:val="00D15940"/>
    <w:rsid w:val="00D26976"/>
    <w:rsid w:val="00D43431"/>
    <w:rsid w:val="00D43AC4"/>
    <w:rsid w:val="00D96750"/>
    <w:rsid w:val="00DC6918"/>
    <w:rsid w:val="00DF7453"/>
    <w:rsid w:val="00E17C27"/>
    <w:rsid w:val="00E20AA2"/>
    <w:rsid w:val="00E228B5"/>
    <w:rsid w:val="00E93DD6"/>
    <w:rsid w:val="00EC0C64"/>
    <w:rsid w:val="00EE28D9"/>
    <w:rsid w:val="00EE57D0"/>
    <w:rsid w:val="00F051A3"/>
    <w:rsid w:val="00F92607"/>
    <w:rsid w:val="00FA73EE"/>
    <w:rsid w:val="00FB1115"/>
    <w:rsid w:val="00FB3464"/>
    <w:rsid w:val="00FB62EB"/>
    <w:rsid w:val="03A367D4"/>
    <w:rsid w:val="04D72665"/>
    <w:rsid w:val="07293B71"/>
    <w:rsid w:val="09D5608C"/>
    <w:rsid w:val="0A203D3A"/>
    <w:rsid w:val="0CEF05D5"/>
    <w:rsid w:val="0FD8791B"/>
    <w:rsid w:val="112D6EFE"/>
    <w:rsid w:val="12333813"/>
    <w:rsid w:val="165E4D68"/>
    <w:rsid w:val="193366D3"/>
    <w:rsid w:val="1A2742AB"/>
    <w:rsid w:val="1B4B5435"/>
    <w:rsid w:val="1BC97111"/>
    <w:rsid w:val="1E1D136D"/>
    <w:rsid w:val="20E10905"/>
    <w:rsid w:val="217A23B8"/>
    <w:rsid w:val="256E3BB5"/>
    <w:rsid w:val="27D2248A"/>
    <w:rsid w:val="2B9D42DF"/>
    <w:rsid w:val="2FF5681A"/>
    <w:rsid w:val="30DF524D"/>
    <w:rsid w:val="34992D8F"/>
    <w:rsid w:val="35BA5F3D"/>
    <w:rsid w:val="37005AA7"/>
    <w:rsid w:val="3945427B"/>
    <w:rsid w:val="3B6625C6"/>
    <w:rsid w:val="3E6F3786"/>
    <w:rsid w:val="40031A0D"/>
    <w:rsid w:val="440305EA"/>
    <w:rsid w:val="475A52C8"/>
    <w:rsid w:val="4D287180"/>
    <w:rsid w:val="4E6E1BDF"/>
    <w:rsid w:val="4F963FBC"/>
    <w:rsid w:val="535D627D"/>
    <w:rsid w:val="53D76681"/>
    <w:rsid w:val="571376EB"/>
    <w:rsid w:val="575A7BB6"/>
    <w:rsid w:val="58155B7A"/>
    <w:rsid w:val="594C43FA"/>
    <w:rsid w:val="5C96781F"/>
    <w:rsid w:val="5D554365"/>
    <w:rsid w:val="5EB21F73"/>
    <w:rsid w:val="5FEF47D5"/>
    <w:rsid w:val="6051623D"/>
    <w:rsid w:val="62E97EC7"/>
    <w:rsid w:val="630E0762"/>
    <w:rsid w:val="64223969"/>
    <w:rsid w:val="69513CE0"/>
    <w:rsid w:val="6C3969B7"/>
    <w:rsid w:val="6CE55CE6"/>
    <w:rsid w:val="6E7C2BC5"/>
    <w:rsid w:val="74200499"/>
    <w:rsid w:val="757423F0"/>
    <w:rsid w:val="77F46B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宋体" w:hAnsi="宋体" w:eastAsia="宋体" w:cs="宋体"/>
      <w:sz w:val="22"/>
      <w:szCs w:val="22"/>
      <w:lang w:val="zh-CN" w:eastAsia="zh-CN" w:bidi="zh-CN"/>
    </w:rPr>
  </w:style>
  <w:style w:type="paragraph" w:styleId="3">
    <w:name w:val="heading 1"/>
    <w:basedOn w:val="1"/>
    <w:next w:val="1"/>
    <w:qFormat/>
    <w:uiPriority w:val="1"/>
    <w:pPr>
      <w:ind w:left="120"/>
      <w:outlineLvl w:val="0"/>
    </w:pPr>
    <w:rPr>
      <w:sz w:val="28"/>
      <w:szCs w:val="28"/>
    </w:rPr>
  </w:style>
  <w:style w:type="paragraph" w:styleId="2">
    <w:name w:val="heading 2"/>
    <w:basedOn w:val="1"/>
    <w:next w:val="1"/>
    <w:qFormat/>
    <w:uiPriority w:val="1"/>
    <w:pPr>
      <w:ind w:right="240"/>
      <w:jc w:val="center"/>
      <w:outlineLvl w:val="1"/>
    </w:pPr>
    <w:rPr>
      <w:b/>
      <w:bCs/>
      <w:sz w:val="24"/>
      <w:szCs w:val="24"/>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4">
    <w:name w:val="Body Text"/>
    <w:basedOn w:val="1"/>
    <w:qFormat/>
    <w:uiPriority w:val="1"/>
    <w:pPr>
      <w:ind w:left="120"/>
    </w:pPr>
    <w:rPr>
      <w:sz w:val="24"/>
      <w:szCs w:val="24"/>
    </w:rPr>
  </w:style>
  <w:style w:type="paragraph" w:styleId="5">
    <w:name w:val="Body Text Indent"/>
    <w:basedOn w:val="1"/>
    <w:link w:val="22"/>
    <w:qFormat/>
    <w:uiPriority w:val="0"/>
    <w:pPr>
      <w:spacing w:after="120"/>
      <w:ind w:left="420" w:leftChars="200"/>
    </w:pPr>
  </w:style>
  <w:style w:type="paragraph" w:styleId="6">
    <w:name w:val="Balloon Text"/>
    <w:basedOn w:val="1"/>
    <w:link w:val="21"/>
    <w:qFormat/>
    <w:uiPriority w:val="0"/>
    <w:rPr>
      <w:sz w:val="18"/>
      <w:szCs w:val="18"/>
    </w:rPr>
  </w:style>
  <w:style w:type="paragraph" w:styleId="7">
    <w:name w:val="footer"/>
    <w:basedOn w:val="1"/>
    <w:link w:val="19"/>
    <w:qFormat/>
    <w:uiPriority w:val="0"/>
    <w:pPr>
      <w:tabs>
        <w:tab w:val="center" w:pos="4153"/>
        <w:tab w:val="right" w:pos="8306"/>
      </w:tabs>
      <w:snapToGrid w:val="0"/>
    </w:pPr>
    <w:rPr>
      <w:sz w:val="18"/>
      <w:szCs w:val="18"/>
    </w:rPr>
  </w:style>
  <w:style w:type="paragraph" w:styleId="8">
    <w:name w:val="header"/>
    <w:basedOn w:val="1"/>
    <w:link w:val="18"/>
    <w:qFormat/>
    <w:uiPriority w:val="0"/>
    <w:pPr>
      <w:pBdr>
        <w:bottom w:val="single" w:color="auto" w:sz="6" w:space="1"/>
      </w:pBdr>
      <w:tabs>
        <w:tab w:val="center" w:pos="4153"/>
        <w:tab w:val="right" w:pos="8306"/>
      </w:tabs>
      <w:snapToGrid w:val="0"/>
      <w:jc w:val="center"/>
    </w:pPr>
    <w:rPr>
      <w:sz w:val="18"/>
      <w:szCs w:val="18"/>
    </w:rPr>
  </w:style>
  <w:style w:type="paragraph" w:styleId="9">
    <w:name w:val="toc 1"/>
    <w:basedOn w:val="1"/>
    <w:next w:val="1"/>
    <w:qFormat/>
    <w:uiPriority w:val="39"/>
    <w:pPr>
      <w:spacing w:before="316"/>
      <w:ind w:right="238"/>
      <w:jc w:val="center"/>
    </w:pPr>
    <w:rPr>
      <w:sz w:val="24"/>
      <w:szCs w:val="24"/>
    </w:rPr>
  </w:style>
  <w:style w:type="paragraph" w:styleId="10">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character" w:styleId="13">
    <w:name w:val="Hyperlink"/>
    <w:basedOn w:val="12"/>
    <w:unhideWhenUsed/>
    <w:qFormat/>
    <w:uiPriority w:val="99"/>
    <w:rPr>
      <w:color w:val="0000FF" w:themeColor="hyperlink"/>
      <w:u w:val="single"/>
    </w:rPr>
  </w:style>
  <w:style w:type="table" w:customStyle="1" w:styleId="14">
    <w:name w:val="Table Normal"/>
    <w:semiHidden/>
    <w:unhideWhenUsed/>
    <w:qFormat/>
    <w:uiPriority w:val="2"/>
    <w:tblPr>
      <w:tblCellMar>
        <w:top w:w="0" w:type="dxa"/>
        <w:left w:w="0" w:type="dxa"/>
        <w:bottom w:w="0" w:type="dxa"/>
        <w:right w:w="0" w:type="dxa"/>
      </w:tblCellMar>
    </w:tblPr>
  </w:style>
  <w:style w:type="paragraph" w:styleId="15">
    <w:name w:val="List Paragraph"/>
    <w:basedOn w:val="1"/>
    <w:qFormat/>
    <w:uiPriority w:val="1"/>
    <w:pPr>
      <w:spacing w:before="4"/>
      <w:ind w:left="540" w:hanging="420"/>
    </w:pPr>
  </w:style>
  <w:style w:type="paragraph" w:customStyle="1" w:styleId="16">
    <w:name w:val="Table Paragraph"/>
    <w:basedOn w:val="1"/>
    <w:qFormat/>
    <w:uiPriority w:val="1"/>
    <w:pPr>
      <w:spacing w:before="156"/>
      <w:ind w:left="112"/>
    </w:pPr>
  </w:style>
  <w:style w:type="paragraph" w:customStyle="1" w:styleId="17">
    <w:name w:val="WPSOffice手动目录 1"/>
    <w:qFormat/>
    <w:uiPriority w:val="0"/>
    <w:rPr>
      <w:rFonts w:ascii="Times New Roman" w:hAnsi="Times New Roman" w:eastAsia="宋体" w:cs="Times New Roman"/>
      <w:lang w:val="en-US" w:eastAsia="zh-CN" w:bidi="ar-SA"/>
    </w:rPr>
  </w:style>
  <w:style w:type="character" w:customStyle="1" w:styleId="18">
    <w:name w:val="页眉 Char"/>
    <w:basedOn w:val="12"/>
    <w:link w:val="8"/>
    <w:qFormat/>
    <w:uiPriority w:val="0"/>
    <w:rPr>
      <w:rFonts w:ascii="宋体" w:hAnsi="宋体" w:cs="宋体"/>
      <w:sz w:val="18"/>
      <w:szCs w:val="18"/>
      <w:lang w:val="zh-CN" w:bidi="zh-CN"/>
    </w:rPr>
  </w:style>
  <w:style w:type="character" w:customStyle="1" w:styleId="19">
    <w:name w:val="页脚 Char"/>
    <w:basedOn w:val="12"/>
    <w:link w:val="7"/>
    <w:qFormat/>
    <w:uiPriority w:val="0"/>
    <w:rPr>
      <w:rFonts w:ascii="宋体" w:hAnsi="宋体" w:cs="宋体"/>
      <w:sz w:val="18"/>
      <w:szCs w:val="18"/>
      <w:lang w:val="zh-CN" w:bidi="zh-CN"/>
    </w:rPr>
  </w:style>
  <w:style w:type="paragraph" w:customStyle="1" w:styleId="20">
    <w:name w:val="TOC 标题1"/>
    <w:basedOn w:val="3"/>
    <w:next w:val="1"/>
    <w:unhideWhenUsed/>
    <w:qFormat/>
    <w:uiPriority w:val="39"/>
    <w:pPr>
      <w:keepNext/>
      <w:keepLines/>
      <w:widowControl/>
      <w:autoSpaceDE/>
      <w:autoSpaceDN/>
      <w:spacing w:before="240" w:line="259" w:lineRule="auto"/>
      <w:ind w:left="0"/>
      <w:outlineLvl w:val="9"/>
    </w:pPr>
    <w:rPr>
      <w:rFonts w:asciiTheme="majorHAnsi" w:hAnsiTheme="majorHAnsi" w:eastAsiaTheme="majorEastAsia" w:cstheme="majorBidi"/>
      <w:color w:val="366091" w:themeColor="accent1" w:themeShade="BF"/>
      <w:sz w:val="32"/>
      <w:szCs w:val="32"/>
      <w:lang w:val="en-US" w:bidi="ar-SA"/>
    </w:rPr>
  </w:style>
  <w:style w:type="character" w:customStyle="1" w:styleId="21">
    <w:name w:val="批注框文本 Char"/>
    <w:basedOn w:val="12"/>
    <w:link w:val="6"/>
    <w:qFormat/>
    <w:uiPriority w:val="0"/>
    <w:rPr>
      <w:rFonts w:ascii="宋体" w:hAnsi="宋体" w:cs="宋体"/>
      <w:sz w:val="18"/>
      <w:szCs w:val="18"/>
      <w:lang w:val="zh-CN" w:bidi="zh-CN"/>
    </w:rPr>
  </w:style>
  <w:style w:type="character" w:customStyle="1" w:styleId="22">
    <w:name w:val="正文文本缩进 Char"/>
    <w:basedOn w:val="12"/>
    <w:link w:val="5"/>
    <w:qFormat/>
    <w:uiPriority w:val="0"/>
    <w:rPr>
      <w:rFonts w:ascii="宋体" w:hAnsi="宋体" w:cs="宋体"/>
      <w:sz w:val="22"/>
      <w:szCs w:val="22"/>
      <w:lang w:val="zh-CN" w:bidi="zh-CN"/>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52"/>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1086F3B-2520-4455-9ACD-6C013FE6AF95}">
  <ds:schemaRefs/>
</ds:datastoreItem>
</file>

<file path=docProps/app.xml><?xml version="1.0" encoding="utf-8"?>
<Properties xmlns="http://schemas.openxmlformats.org/officeDocument/2006/extended-properties" xmlns:vt="http://schemas.openxmlformats.org/officeDocument/2006/docPropsVTypes">
  <Template>Normal</Template>
  <Company>DongFeng</Company>
  <Pages>26</Pages>
  <Words>2644</Words>
  <Characters>15074</Characters>
  <Lines>125</Lines>
  <Paragraphs>35</Paragraphs>
  <TotalTime>2</TotalTime>
  <ScaleCrop>false</ScaleCrop>
  <LinksUpToDate>false</LinksUpToDate>
  <CharactersWithSpaces>17683</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2019-06-04T02:04:00Z</dcterms:created>
  <dc:creator>尚丹</dc:creator>
  <cp:lastModifiedBy>口</cp:lastModifiedBy>
  <cp:lastPrinted>2019-11-19T12:09:00Z</cp:lastPrinted>
  <dcterms:modified xsi:type="dcterms:W3CDTF">2021-11-07T06:04:38Z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2018-08-30T00:00:00Z</vt:filetime>
  </property>
  <property fmtid="{D5CDD505-2E9C-101B-9397-08002B2CF9AE}" pid="3" name="Creator">
    <vt:lpwstr>Acrobat PDFMaker 15 Word 版</vt:lpwstr>
  </property>
  <property fmtid="{D5CDD505-2E9C-101B-9397-08002B2CF9AE}" pid="4" name="LastSaved">
    <vt:filetime>2019-06-04T00:00:00Z</vt:filetime>
  </property>
  <property fmtid="{D5CDD505-2E9C-101B-9397-08002B2CF9AE}" pid="5" name="KSOProductBuildVer">
    <vt:lpwstr>2052-11.1.0.11045</vt:lpwstr>
  </property>
  <property fmtid="{D5CDD505-2E9C-101B-9397-08002B2CF9AE}" pid="6" name="ICV">
    <vt:lpwstr>C301EC573B4443A3B25A0E9EDA0905E8</vt:lpwstr>
  </property>
</Properties>
</file>